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F6B3" w14:textId="77777777" w:rsidR="00015622" w:rsidRDefault="00015622" w:rsidP="00015622">
      <w:bookmarkStart w:id="0" w:name="_Toc400361362"/>
      <w:bookmarkStart w:id="1" w:name="_Toc443397153"/>
      <w:bookmarkStart w:id="2" w:name="_Toc357771638"/>
      <w:bookmarkStart w:id="3" w:name="_Toc346793416"/>
      <w:bookmarkStart w:id="4" w:name="_Toc328122777"/>
      <w:r w:rsidRPr="007A2F12">
        <w:rPr>
          <w:rFonts w:ascii="Arial Narrow" w:hAnsi="Arial Narrow" w:cs="Arial"/>
          <w:noProof/>
          <w:sz w:val="36"/>
          <w:szCs w:val="36"/>
        </w:rPr>
        <w:drawing>
          <wp:anchor distT="0" distB="0" distL="114300" distR="114300" simplePos="0" relativeHeight="251659264" behindDoc="0" locked="0" layoutInCell="1" allowOverlap="1" wp14:anchorId="068E0249" wp14:editId="10FA5468">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rPr>
        <w:drawing>
          <wp:anchor distT="0" distB="0" distL="114300" distR="114300" simplePos="0" relativeHeight="251660288" behindDoc="0" locked="0" layoutInCell="1" allowOverlap="1" wp14:anchorId="6E84E1DC" wp14:editId="7AD9AB15">
            <wp:simplePos x="0" y="0"/>
            <wp:positionH relativeFrom="column">
              <wp:posOffset>4694830</wp:posOffset>
            </wp:positionH>
            <wp:positionV relativeFrom="paragraph">
              <wp:posOffset>404</wp:posOffset>
            </wp:positionV>
            <wp:extent cx="1392071" cy="1698193"/>
            <wp:effectExtent l="0" t="0" r="0" b="0"/>
            <wp:wrapSquare wrapText="bothSides"/>
            <wp:docPr id="4" name="Picture 4"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9ED0C" w14:textId="77777777" w:rsidR="00015622" w:rsidRDefault="00015622" w:rsidP="00015622"/>
    <w:p w14:paraId="6517ABCA" w14:textId="77777777" w:rsidR="00015622" w:rsidRDefault="00015622" w:rsidP="00015622"/>
    <w:p w14:paraId="58265AB2" w14:textId="77777777" w:rsidR="00015622" w:rsidRDefault="00015622" w:rsidP="00015622"/>
    <w:p w14:paraId="5272313C" w14:textId="77777777" w:rsidR="00015622" w:rsidRDefault="00015622" w:rsidP="00015622"/>
    <w:p w14:paraId="01D7AB15" w14:textId="77777777" w:rsidR="00015622" w:rsidRDefault="00015622" w:rsidP="00015622">
      <w:pPr>
        <w:rPr>
          <w:rFonts w:ascii="Gisha" w:hAnsi="Gisha" w:cs="Gisha"/>
        </w:rPr>
      </w:pPr>
    </w:p>
    <w:p w14:paraId="49CB07C4" w14:textId="77777777" w:rsidR="00015622" w:rsidRPr="003B1B2A" w:rsidRDefault="00015622" w:rsidP="00015622">
      <w:pPr>
        <w:rPr>
          <w:rFonts w:ascii="Gisha" w:hAnsi="Gisha" w:cs="Gisha"/>
        </w:rPr>
      </w:pPr>
    </w:p>
    <w:p w14:paraId="0CF5BA75" w14:textId="77777777" w:rsidR="00015622" w:rsidRPr="00560F75" w:rsidRDefault="00015622" w:rsidP="00015622">
      <w:pPr>
        <w:jc w:val="center"/>
        <w:rPr>
          <w:rFonts w:ascii="Calibri" w:hAnsi="Calibri" w:cs="Calibri"/>
          <w:b/>
          <w:color w:val="4BACC6" w:themeColor="accent5"/>
          <w:sz w:val="48"/>
          <w:szCs w:val="48"/>
          <w:u w:val="single"/>
        </w:rPr>
      </w:pPr>
      <w:r w:rsidRPr="00560F75">
        <w:rPr>
          <w:rFonts w:ascii="Calibri" w:hAnsi="Calibri" w:cs="Calibri"/>
          <w:b/>
          <w:color w:val="4BACC6" w:themeColor="accent5"/>
          <w:sz w:val="48"/>
          <w:szCs w:val="48"/>
          <w:u w:val="single"/>
        </w:rPr>
        <w:t xml:space="preserve">ST ETHELBERT’S CATHOLIC </w:t>
      </w:r>
    </w:p>
    <w:p w14:paraId="49FED339" w14:textId="77777777" w:rsidR="00015622" w:rsidRPr="00560F75" w:rsidRDefault="00015622" w:rsidP="00015622">
      <w:pPr>
        <w:jc w:val="center"/>
        <w:rPr>
          <w:rFonts w:ascii="Calibri" w:hAnsi="Calibri" w:cs="Calibri"/>
          <w:b/>
          <w:color w:val="4BACC6" w:themeColor="accent5"/>
          <w:sz w:val="48"/>
          <w:szCs w:val="48"/>
          <w:u w:val="single"/>
        </w:rPr>
      </w:pPr>
      <w:r w:rsidRPr="00560F75">
        <w:rPr>
          <w:rFonts w:ascii="Calibri" w:hAnsi="Calibri" w:cs="Calibri"/>
          <w:b/>
          <w:color w:val="4BACC6" w:themeColor="accent5"/>
          <w:sz w:val="48"/>
          <w:szCs w:val="48"/>
          <w:u w:val="single"/>
        </w:rPr>
        <w:t>PRIMARY SCHOOL AND NURSERY</w:t>
      </w:r>
    </w:p>
    <w:p w14:paraId="4FFA1ECD" w14:textId="77777777" w:rsidR="00015622" w:rsidRPr="00560F75" w:rsidRDefault="00015622" w:rsidP="00015622">
      <w:pPr>
        <w:jc w:val="center"/>
        <w:rPr>
          <w:rFonts w:ascii="Mongolian Baiti" w:hAnsi="Mongolian Baiti" w:cs="Mongolian Baiti"/>
          <w:b/>
          <w:sz w:val="48"/>
          <w:szCs w:val="48"/>
          <w:u w:val="single"/>
        </w:rPr>
      </w:pPr>
    </w:p>
    <w:p w14:paraId="497C8A4B" w14:textId="77777777" w:rsidR="00015622" w:rsidRPr="00560F75" w:rsidRDefault="00015622" w:rsidP="00015622">
      <w:pPr>
        <w:jc w:val="center"/>
        <w:rPr>
          <w:rFonts w:ascii="Calibri" w:hAnsi="Calibri" w:cs="Calibri"/>
          <w:b/>
          <w:color w:val="4BACC6" w:themeColor="accent5"/>
          <w:sz w:val="48"/>
          <w:szCs w:val="48"/>
          <w:u w:val="single"/>
        </w:rPr>
      </w:pPr>
    </w:p>
    <w:p w14:paraId="23155973" w14:textId="6ECE39F0" w:rsidR="00015622" w:rsidRPr="00560F75" w:rsidRDefault="00015622" w:rsidP="00015622">
      <w:pPr>
        <w:jc w:val="center"/>
        <w:rPr>
          <w:rFonts w:ascii="Calibri" w:hAnsi="Calibri" w:cs="Calibri"/>
          <w:b/>
          <w:color w:val="4BACC6" w:themeColor="accent5"/>
          <w:sz w:val="48"/>
          <w:szCs w:val="48"/>
          <w:u w:val="single"/>
        </w:rPr>
      </w:pPr>
      <w:r>
        <w:rPr>
          <w:rFonts w:ascii="Calibri" w:hAnsi="Calibri" w:cs="Calibri"/>
          <w:b/>
          <w:color w:val="4BACC6" w:themeColor="accent5"/>
          <w:sz w:val="48"/>
          <w:szCs w:val="48"/>
          <w:u w:val="single"/>
        </w:rPr>
        <w:t>Pupil Premium Strategy Statement 2021</w:t>
      </w:r>
    </w:p>
    <w:p w14:paraId="051545D5" w14:textId="77777777" w:rsidR="00015622" w:rsidRDefault="00015622" w:rsidP="00015622"/>
    <w:p w14:paraId="1C24A092" w14:textId="77777777" w:rsidR="00015622" w:rsidRDefault="00015622" w:rsidP="00015622"/>
    <w:p w14:paraId="4430D09D" w14:textId="77777777" w:rsidR="00015622" w:rsidRDefault="00015622" w:rsidP="00015622"/>
    <w:p w14:paraId="1FBFED21" w14:textId="77777777" w:rsidR="00015622" w:rsidRDefault="00015622" w:rsidP="00015622"/>
    <w:p w14:paraId="20F8D984" w14:textId="77777777" w:rsidR="00015622" w:rsidRDefault="00015622" w:rsidP="00015622"/>
    <w:p w14:paraId="05BD5E38" w14:textId="77777777" w:rsidR="00015622" w:rsidRDefault="00015622" w:rsidP="00015622"/>
    <w:p w14:paraId="56F449A0" w14:textId="4CD527E6" w:rsidR="00015622" w:rsidRPr="003B1B2A" w:rsidRDefault="00015622" w:rsidP="00015622">
      <w:pPr>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Pr>
          <w:rFonts w:ascii="Gisha" w:hAnsi="Gisha" w:cs="Gisha"/>
          <w:b/>
          <w:sz w:val="20"/>
          <w:szCs w:val="20"/>
        </w:rPr>
        <w:t>December 2021</w:t>
      </w:r>
      <w:bookmarkStart w:id="5" w:name="_GoBack"/>
      <w:bookmarkEnd w:id="5"/>
    </w:p>
    <w:p w14:paraId="37E5C3C1" w14:textId="68AC2037" w:rsidR="00015622" w:rsidRPr="00015622" w:rsidRDefault="00015622" w:rsidP="00015622">
      <w:pPr>
        <w:spacing w:after="0" w:line="240" w:lineRule="auto"/>
        <w:rPr>
          <w:rFonts w:ascii="Gisha" w:hAnsi="Gisha" w:cs="Gisha"/>
          <w:b/>
          <w:sz w:val="20"/>
          <w:szCs w:val="20"/>
        </w:rPr>
      </w:pPr>
      <w:r w:rsidRPr="003B1B2A">
        <w:rPr>
          <w:rFonts w:ascii="Gisha" w:hAnsi="Gisha" w:cs="Gisha"/>
          <w:b/>
          <w:sz w:val="20"/>
          <w:szCs w:val="20"/>
        </w:rPr>
        <w:t xml:space="preserve">Date of Next Review:   </w:t>
      </w:r>
    </w:p>
    <w:p w14:paraId="2A7D54B1" w14:textId="77C2DF80" w:rsidR="00E66558" w:rsidRDefault="009D71E8">
      <w:pPr>
        <w:pStyle w:val="Heading1"/>
      </w:pPr>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78" w:type="pct"/>
        <w:tblCellMar>
          <w:left w:w="10" w:type="dxa"/>
          <w:right w:w="10" w:type="dxa"/>
        </w:tblCellMar>
        <w:tblLook w:val="04A0" w:firstRow="1" w:lastRow="0" w:firstColumn="1" w:lastColumn="0" w:noHBand="0" w:noVBand="1"/>
      </w:tblPr>
      <w:tblGrid>
        <w:gridCol w:w="6517"/>
        <w:gridCol w:w="3117"/>
      </w:tblGrid>
      <w:tr w:rsidR="00E66558" w14:paraId="2A7D54B7"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FDE171" w:rsidR="00E66558" w:rsidRDefault="004E2B59">
            <w:pPr>
              <w:pStyle w:val="TableRow"/>
            </w:pPr>
            <w:r>
              <w:t>St Ethelbert’s</w:t>
            </w:r>
          </w:p>
        </w:tc>
      </w:tr>
      <w:tr w:rsidR="00E66558" w14:paraId="2A7D54BD"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726C503" w:rsidR="00E66558" w:rsidRDefault="00E53647">
            <w:pPr>
              <w:pStyle w:val="TableRow"/>
            </w:pPr>
            <w:r>
              <w:t>429</w:t>
            </w:r>
          </w:p>
        </w:tc>
      </w:tr>
      <w:tr w:rsidR="00E66558" w14:paraId="2A7D54C0"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7F50311" w:rsidR="00E66558" w:rsidRDefault="00175276">
            <w:pPr>
              <w:pStyle w:val="TableRow"/>
            </w:pPr>
            <w:r>
              <w:t>7%</w:t>
            </w:r>
            <w:r w:rsidR="004C5A5F">
              <w:t xml:space="preserve"> (29 pupils- Sept 2021)</w:t>
            </w:r>
          </w:p>
        </w:tc>
      </w:tr>
      <w:tr w:rsidR="00E66558" w14:paraId="2A7D54C3"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9DD2" w14:textId="77777777" w:rsidR="004E2B59" w:rsidRDefault="004E2B59" w:rsidP="004E2B59">
            <w:pPr>
              <w:pStyle w:val="TableRow"/>
            </w:pPr>
            <w:r>
              <w:t>2021-2022</w:t>
            </w:r>
          </w:p>
          <w:p w14:paraId="1914A40D" w14:textId="6B38427E" w:rsidR="004E2B59" w:rsidRDefault="00F00D9B" w:rsidP="00F00D9B">
            <w:pPr>
              <w:pStyle w:val="TableRow"/>
              <w:ind w:left="0"/>
            </w:pPr>
            <w:r>
              <w:t xml:space="preserve"> </w:t>
            </w:r>
            <w:r w:rsidR="004E2B59">
              <w:t>2022-2023</w:t>
            </w:r>
          </w:p>
          <w:p w14:paraId="2A7D54C2" w14:textId="43B37400" w:rsidR="00E66558" w:rsidRDefault="00F00D9B" w:rsidP="00F00D9B">
            <w:pPr>
              <w:pStyle w:val="TableRow"/>
              <w:ind w:left="0"/>
            </w:pPr>
            <w:r>
              <w:t xml:space="preserve"> </w:t>
            </w:r>
            <w:r w:rsidR="004E2B59">
              <w:t>2023-2024</w:t>
            </w:r>
          </w:p>
        </w:tc>
      </w:tr>
      <w:tr w:rsidR="00E66558" w14:paraId="2A7D54C6"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E452A1C" w:rsidR="00E66558" w:rsidRDefault="00595404">
            <w:pPr>
              <w:pStyle w:val="TableRow"/>
            </w:pPr>
            <w:r>
              <w:t>Dec</w:t>
            </w:r>
            <w:r w:rsidR="004E2B59">
              <w:t>ember 2021</w:t>
            </w:r>
          </w:p>
        </w:tc>
      </w:tr>
      <w:tr w:rsidR="00E66558" w14:paraId="2A7D54C9"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8B82325" w:rsidR="00E66558" w:rsidRDefault="00595404">
            <w:pPr>
              <w:pStyle w:val="TableRow"/>
            </w:pPr>
            <w:r>
              <w:t>July 2022</w:t>
            </w:r>
          </w:p>
        </w:tc>
      </w:tr>
      <w:tr w:rsidR="00E66558" w14:paraId="2A7D54CC"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B077331" w:rsidR="00E66558" w:rsidRDefault="004E2B59">
            <w:pPr>
              <w:pStyle w:val="TableRow"/>
            </w:pPr>
            <w:r>
              <w:t>Fiona Maynard</w:t>
            </w:r>
            <w:r w:rsidR="00595404">
              <w:t>, Head</w:t>
            </w:r>
            <w:r w:rsidR="00D34F0D">
              <w:t xml:space="preserve"> </w:t>
            </w:r>
            <w:r w:rsidR="00595404">
              <w:t>teacher</w:t>
            </w:r>
          </w:p>
        </w:tc>
      </w:tr>
      <w:tr w:rsidR="00E66558" w14:paraId="2A7D54CF"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93F51" w14:textId="77777777" w:rsidR="00595404" w:rsidRDefault="004E2B59">
            <w:pPr>
              <w:pStyle w:val="TableRow"/>
            </w:pPr>
            <w:r>
              <w:t>Jo Rodrigues</w:t>
            </w:r>
            <w:r w:rsidR="00595404">
              <w:t xml:space="preserve">, </w:t>
            </w:r>
          </w:p>
          <w:p w14:paraId="2A7D54CE" w14:textId="574DAC73" w:rsidR="00E66558" w:rsidRDefault="00595404">
            <w:pPr>
              <w:pStyle w:val="TableRow"/>
            </w:pPr>
            <w:r>
              <w:t>Deputy Head</w:t>
            </w:r>
            <w:r w:rsidR="00D34F0D">
              <w:t xml:space="preserve"> </w:t>
            </w:r>
            <w:r>
              <w:t>teacher</w:t>
            </w:r>
          </w:p>
        </w:tc>
      </w:tr>
      <w:tr w:rsidR="00E66558" w14:paraId="2A7D54D2" w14:textId="77777777" w:rsidTr="004C5A5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A01AC53" w:rsidR="00E66558" w:rsidRDefault="00622CDC" w:rsidP="00622CDC">
            <w:pPr>
              <w:pStyle w:val="TableRow"/>
              <w:ind w:left="0"/>
            </w:pPr>
            <w:r>
              <w:t>Margaret Matthews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C2E7C0" w:rsidR="00E66558" w:rsidRDefault="009D71E8">
            <w:pPr>
              <w:pStyle w:val="TableRow"/>
            </w:pPr>
            <w:r>
              <w:t>£</w:t>
            </w:r>
            <w:r w:rsidR="00175276">
              <w:t>71,285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9EEF062" w:rsidR="00E66558" w:rsidRDefault="009D71E8">
            <w:pPr>
              <w:pStyle w:val="TableRow"/>
            </w:pPr>
            <w:r>
              <w:t>£</w:t>
            </w:r>
            <w:r w:rsidR="004C5A5F">
              <w:t>6,815</w:t>
            </w:r>
            <w:r w:rsidR="00EF549D">
              <w:t xml:space="preserve"> (£145 per pupil)</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DE9C548" w:rsidR="00E66558" w:rsidRDefault="009D71E8">
            <w:pPr>
              <w:pStyle w:val="TableRow"/>
            </w:pPr>
            <w:r>
              <w:t>£</w:t>
            </w:r>
            <w:r w:rsidR="00175276">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8E3AC96" w:rsidR="00E66558" w:rsidRPr="00EF549D" w:rsidRDefault="009D71E8">
            <w:pPr>
              <w:pStyle w:val="TableRow"/>
              <w:rPr>
                <w:b/>
              </w:rPr>
            </w:pPr>
            <w:r w:rsidRPr="00EF549D">
              <w:rPr>
                <w:b/>
              </w:rPr>
              <w:t>£</w:t>
            </w:r>
            <w:r w:rsidR="004C5A5F">
              <w:rPr>
                <w:b/>
              </w:rPr>
              <w:t>78,100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2C6A" w14:textId="77777777" w:rsidR="00445B50" w:rsidRDefault="00445B50" w:rsidP="00445B50">
            <w:pPr>
              <w:rPr>
                <w:rFonts w:cs="Arial"/>
              </w:rPr>
            </w:pPr>
            <w:r>
              <w:rPr>
                <w:rFonts w:cs="Arial"/>
              </w:rPr>
              <w:t>Our ultimate objectives are:</w:t>
            </w:r>
          </w:p>
          <w:p w14:paraId="5811CAC7" w14:textId="77777777" w:rsidR="00445B50" w:rsidRPr="00C30F6A" w:rsidRDefault="00445B50" w:rsidP="00595404">
            <w:pPr>
              <w:pStyle w:val="ListParagraph"/>
              <w:numPr>
                <w:ilvl w:val="0"/>
                <w:numId w:val="17"/>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537043D7" w14:textId="1A7C9AAF" w:rsidR="00512529" w:rsidRDefault="00006243" w:rsidP="00595404">
            <w:pPr>
              <w:pStyle w:val="ListParagraph"/>
              <w:numPr>
                <w:ilvl w:val="0"/>
                <w:numId w:val="17"/>
              </w:numPr>
              <w:rPr>
                <w:rFonts w:cs="Arial"/>
              </w:rPr>
            </w:pPr>
            <w:r>
              <w:rPr>
                <w:rFonts w:cs="Arial"/>
              </w:rPr>
              <w:t>For all children</w:t>
            </w:r>
            <w:r w:rsidR="00544BC0">
              <w:rPr>
                <w:rFonts w:cs="Arial"/>
              </w:rPr>
              <w:t xml:space="preserve"> </w:t>
            </w:r>
            <w:r w:rsidR="00544BC0" w:rsidRPr="00445B50">
              <w:rPr>
                <w:rFonts w:cs="Arial"/>
              </w:rPr>
              <w:t>(dis</w:t>
            </w:r>
            <w:r w:rsidR="00544BC0">
              <w:rPr>
                <w:rFonts w:cs="Arial"/>
              </w:rPr>
              <w:t>advantaged or not)</w:t>
            </w:r>
            <w:r>
              <w:rPr>
                <w:rFonts w:cs="Arial"/>
              </w:rPr>
              <w:t xml:space="preserve"> t</w:t>
            </w:r>
            <w:r w:rsidR="00512529">
              <w:rPr>
                <w:rFonts w:cs="Arial"/>
              </w:rPr>
              <w:t>o make at least expected progress from their starting points.</w:t>
            </w:r>
          </w:p>
          <w:p w14:paraId="4FE8C0DB" w14:textId="40B038A7" w:rsidR="00445B50" w:rsidRDefault="00445B50" w:rsidP="00595404">
            <w:pPr>
              <w:pStyle w:val="ListParagraph"/>
              <w:numPr>
                <w:ilvl w:val="0"/>
                <w:numId w:val="17"/>
              </w:numPr>
              <w:rPr>
                <w:rFonts w:cs="Arial"/>
              </w:rPr>
            </w:pPr>
            <w:r>
              <w:rPr>
                <w:rFonts w:cs="Arial"/>
              </w:rPr>
              <w:t>To s</w:t>
            </w:r>
            <w:r w:rsidR="00512529">
              <w:rPr>
                <w:rFonts w:cs="Arial"/>
              </w:rPr>
              <w:t>upport our children’s health,</w:t>
            </w:r>
            <w:r>
              <w:rPr>
                <w:rFonts w:cs="Arial"/>
              </w:rPr>
              <w:t xml:space="preserve"> wellbeing </w:t>
            </w:r>
            <w:r w:rsidR="00512529">
              <w:rPr>
                <w:rFonts w:cs="Arial"/>
              </w:rPr>
              <w:t xml:space="preserve">and physical fitness </w:t>
            </w:r>
            <w:r>
              <w:rPr>
                <w:rFonts w:cs="Arial"/>
              </w:rPr>
              <w:t>to enable them to access learning at an appropriate level.</w:t>
            </w:r>
          </w:p>
          <w:p w14:paraId="0BE88822" w14:textId="77777777" w:rsidR="00E66558" w:rsidRPr="00006243" w:rsidRDefault="00512529" w:rsidP="00595404">
            <w:pPr>
              <w:pStyle w:val="ListParagraph"/>
              <w:numPr>
                <w:ilvl w:val="0"/>
                <w:numId w:val="17"/>
              </w:numPr>
              <w:rPr>
                <w:i/>
                <w:iCs/>
              </w:rPr>
            </w:pPr>
            <w:r>
              <w:rPr>
                <w:rFonts w:cs="Arial"/>
              </w:rPr>
              <w:t>For</w:t>
            </w:r>
            <w:r w:rsidR="00445B50" w:rsidRPr="00445B50">
              <w:rPr>
                <w:rFonts w:cs="Arial"/>
              </w:rPr>
              <w:t xml:space="preserve"> all pupils (dis</w:t>
            </w:r>
            <w:r>
              <w:rPr>
                <w:rFonts w:cs="Arial"/>
              </w:rPr>
              <w:t xml:space="preserve">advantaged or not) to engage in, and be represented, in </w:t>
            </w:r>
            <w:r w:rsidR="00445B50" w:rsidRPr="00445B50">
              <w:rPr>
                <w:rFonts w:cs="Arial"/>
              </w:rPr>
              <w:t xml:space="preserve">all </w:t>
            </w:r>
            <w:r>
              <w:rPr>
                <w:rFonts w:cs="Arial"/>
              </w:rPr>
              <w:t>aspects of school life equally.</w:t>
            </w:r>
          </w:p>
          <w:p w14:paraId="27CBC9EE" w14:textId="1D63A885" w:rsidR="00006243" w:rsidRDefault="00006243" w:rsidP="00006243">
            <w:pPr>
              <w:rPr>
                <w:iCs/>
              </w:rPr>
            </w:pPr>
            <w:r>
              <w:rPr>
                <w:iCs/>
              </w:rPr>
              <w:t>We aim to do this through:</w:t>
            </w:r>
          </w:p>
          <w:p w14:paraId="19A11518" w14:textId="77777777" w:rsidR="00595404" w:rsidRDefault="00595404" w:rsidP="00595404">
            <w:pPr>
              <w:pStyle w:val="ListParagraph"/>
              <w:numPr>
                <w:ilvl w:val="0"/>
                <w:numId w:val="25"/>
              </w:numPr>
              <w:rPr>
                <w:iCs/>
                <w:color w:val="auto"/>
                <w:lang w:val="en-US"/>
              </w:rPr>
            </w:pPr>
            <w:r w:rsidRPr="00595404">
              <w:rPr>
                <w:rFonts w:cs="Arial"/>
                <w:iCs/>
                <w:color w:val="auto"/>
                <w:lang w:val="en-US"/>
              </w:rPr>
              <w:t xml:space="preserve">High-quality teaching, with a focus on areas in which disadvantaged pupils require the most support. This is proven to have the greatest impact on closing the disadvantage attainment gap and at the same time will benefit the non-disadvantaged pupils in our school. </w:t>
            </w:r>
            <w:r w:rsidRPr="00595404">
              <w:rPr>
                <w:iCs/>
                <w:color w:val="auto"/>
                <w:lang w:val="en-US"/>
              </w:rPr>
              <w:t>Implicit in the intended outcomes detailed below, is the intention that non-disadvantaged pupils’ attainment will be sustained and improved alongside progress for their disadvantaged peers.</w:t>
            </w:r>
          </w:p>
          <w:p w14:paraId="245956A0" w14:textId="77777777" w:rsidR="00595404" w:rsidRPr="00595404" w:rsidRDefault="00006243" w:rsidP="00595404">
            <w:pPr>
              <w:pStyle w:val="ListParagraph"/>
              <w:numPr>
                <w:ilvl w:val="0"/>
                <w:numId w:val="25"/>
              </w:numPr>
              <w:rPr>
                <w:iCs/>
                <w:color w:val="auto"/>
                <w:lang w:val="en-US"/>
              </w:rPr>
            </w:pPr>
            <w:r w:rsidRPr="00595404">
              <w:rPr>
                <w:iCs/>
              </w:rPr>
              <w:t>Ensuring that teaching and learning opportunities meet the needs of all pupils</w:t>
            </w:r>
            <w:r w:rsidR="00595404" w:rsidRPr="00595404">
              <w:rPr>
                <w:iCs/>
              </w:rPr>
              <w:t>, including</w:t>
            </w:r>
            <w:r w:rsidR="00595404" w:rsidRPr="00595404">
              <w:rPr>
                <w:rFonts w:cs="Arial"/>
                <w:iCs/>
                <w:color w:val="auto"/>
                <w:lang w:val="en-US"/>
              </w:rPr>
              <w:t xml:space="preserve"> </w:t>
            </w:r>
            <w:r w:rsidR="00595404">
              <w:rPr>
                <w:rFonts w:cs="Arial"/>
                <w:iCs/>
                <w:color w:val="auto"/>
                <w:lang w:val="en-US"/>
              </w:rPr>
              <w:t xml:space="preserve">challenging </w:t>
            </w:r>
            <w:r w:rsidR="00595404" w:rsidRPr="00595404">
              <w:rPr>
                <w:rFonts w:cs="Arial"/>
                <w:iCs/>
                <w:color w:val="auto"/>
                <w:lang w:val="en-US"/>
              </w:rPr>
              <w:t>disa</w:t>
            </w:r>
            <w:r w:rsidR="00595404">
              <w:rPr>
                <w:rFonts w:cs="Arial"/>
                <w:iCs/>
                <w:color w:val="auto"/>
                <w:lang w:val="en-US"/>
              </w:rPr>
              <w:t xml:space="preserve">dvantaged pupils </w:t>
            </w:r>
            <w:r w:rsidR="00595404" w:rsidRPr="00595404">
              <w:rPr>
                <w:rFonts w:cs="Arial"/>
                <w:iCs/>
                <w:color w:val="auto"/>
                <w:lang w:val="en-US"/>
              </w:rPr>
              <w:t>in the work that they’re set</w:t>
            </w:r>
          </w:p>
          <w:p w14:paraId="7AEFF1E1" w14:textId="36097850" w:rsidR="00006243" w:rsidRPr="00595404" w:rsidRDefault="00006243" w:rsidP="00595404">
            <w:pPr>
              <w:pStyle w:val="ListParagraph"/>
              <w:numPr>
                <w:ilvl w:val="0"/>
                <w:numId w:val="25"/>
              </w:numPr>
              <w:rPr>
                <w:iCs/>
                <w:color w:val="auto"/>
                <w:lang w:val="en-US"/>
              </w:rPr>
            </w:pPr>
            <w:r w:rsidRPr="00595404">
              <w:rPr>
                <w:iCs/>
              </w:rPr>
              <w:t>Ensuring that</w:t>
            </w:r>
            <w:r w:rsidR="00595404" w:rsidRPr="00595404">
              <w:rPr>
                <w:iCs/>
              </w:rPr>
              <w:t xml:space="preserve"> we</w:t>
            </w:r>
            <w:r w:rsidRPr="00595404">
              <w:rPr>
                <w:iCs/>
              </w:rPr>
              <w:t xml:space="preserve"> </w:t>
            </w:r>
            <w:r w:rsidR="00595404" w:rsidRPr="00595404">
              <w:rPr>
                <w:rFonts w:cs="Arial"/>
                <w:color w:val="auto"/>
              </w:rPr>
              <w:t>act early to intervene at the point need is identified</w:t>
            </w:r>
            <w:r w:rsidR="00595404" w:rsidRPr="00595404">
              <w:rPr>
                <w:rFonts w:cs="Arial"/>
                <w:iCs/>
                <w:color w:val="auto"/>
                <w:lang w:val="en-US"/>
              </w:rPr>
              <w:t xml:space="preserve"> and provide </w:t>
            </w:r>
            <w:r w:rsidR="00595404" w:rsidRPr="00595404">
              <w:rPr>
                <w:iCs/>
              </w:rPr>
              <w:t>appropriate provision</w:t>
            </w:r>
            <w:r w:rsidRPr="00595404">
              <w:rPr>
                <w:iCs/>
              </w:rPr>
              <w:t xml:space="preserve"> for pupils who belong to vulnerable groups</w:t>
            </w:r>
          </w:p>
          <w:p w14:paraId="57775A98" w14:textId="33490FBC" w:rsidR="00595404" w:rsidRPr="00595404" w:rsidRDefault="00595404" w:rsidP="00595404">
            <w:pPr>
              <w:pStyle w:val="ListParagraph"/>
              <w:numPr>
                <w:ilvl w:val="0"/>
                <w:numId w:val="17"/>
              </w:numPr>
              <w:rPr>
                <w:iCs/>
              </w:rPr>
            </w:pPr>
            <w:r w:rsidRPr="00595404">
              <w:rPr>
                <w:rFonts w:cs="Arial"/>
                <w:color w:val="auto"/>
              </w:rPr>
              <w:t>Adopting a whole school approach in which all staff take responsibility for disadvantaged pupils’ outcomes and raise expectations of what they can achieve</w:t>
            </w:r>
          </w:p>
          <w:p w14:paraId="60C3AACE" w14:textId="2FE72ADD" w:rsidR="00006243" w:rsidRDefault="00006243" w:rsidP="00595404">
            <w:pPr>
              <w:pStyle w:val="ListParagraph"/>
              <w:numPr>
                <w:ilvl w:val="0"/>
                <w:numId w:val="17"/>
              </w:numPr>
              <w:rPr>
                <w:iCs/>
              </w:rPr>
            </w:pPr>
            <w:r>
              <w:rPr>
                <w:iCs/>
              </w:rPr>
              <w:t>Facilitating a wide range of enrichment experiences which will positively impact on the pupils’ academic achievement</w:t>
            </w:r>
            <w:r w:rsidR="00544BC0">
              <w:rPr>
                <w:iCs/>
              </w:rPr>
              <w:t>, physical fitness</w:t>
            </w:r>
            <w:r>
              <w:rPr>
                <w:iCs/>
              </w:rPr>
              <w:t xml:space="preserve"> and well–being.</w:t>
            </w:r>
          </w:p>
          <w:p w14:paraId="442BCAE6" w14:textId="3FF72646" w:rsidR="00C277A4" w:rsidRPr="00761E0B" w:rsidRDefault="00006243" w:rsidP="00761E0B">
            <w:pPr>
              <w:pStyle w:val="ListParagraph"/>
              <w:numPr>
                <w:ilvl w:val="0"/>
                <w:numId w:val="17"/>
              </w:numPr>
              <w:pBdr>
                <w:top w:val="nil"/>
                <w:left w:val="nil"/>
                <w:bottom w:val="nil"/>
                <w:right w:val="nil"/>
                <w:between w:val="nil"/>
              </w:pBdr>
            </w:pPr>
            <w:r w:rsidRPr="005903E4">
              <w:rPr>
                <w:iCs/>
              </w:rPr>
              <w:t>Providing pastoral</w:t>
            </w:r>
            <w:r w:rsidR="005903E4">
              <w:rPr>
                <w:iCs/>
              </w:rPr>
              <w:t xml:space="preserve"> support to the children</w:t>
            </w:r>
            <w:r w:rsidR="00426548" w:rsidRPr="005903E4">
              <w:rPr>
                <w:iCs/>
              </w:rPr>
              <w:t>.</w:t>
            </w:r>
            <w:r w:rsidR="00C277A4" w:rsidRPr="005903E4">
              <w:rPr>
                <w:iCs/>
              </w:rPr>
              <w:t xml:space="preserve"> </w:t>
            </w:r>
            <w:r w:rsidR="005903E4" w:rsidRPr="00761E0B">
              <w:t xml:space="preserve">We have identified (through assessment of need) that the main challenges experienced by our most disadvantaged pupils include SEMH needs (particularly anxiety), complex family situations and safeguarding concerns. We have a Safeguarding and Pupil Well-being Officer who provides </w:t>
            </w:r>
            <w:r w:rsidR="00DC48AF">
              <w:t xml:space="preserve">pastoral </w:t>
            </w:r>
            <w:r w:rsidR="005903E4" w:rsidRPr="00761E0B">
              <w:t>support to pupils and their families</w:t>
            </w:r>
            <w:r w:rsidR="00DC48AF">
              <w:t>, including punctuality and attendance,</w:t>
            </w:r>
            <w:r w:rsidR="005903E4" w:rsidRPr="00761E0B">
              <w:t xml:space="preserve"> as well as dealing with safeguarding concerns and multi-agency issues. Due to our pupils’ increasing SEMH needs, we also have 2 part-time Emotional Learning Support Assistants (ELSA) who provide bespoke support to identified pupils. </w:t>
            </w:r>
          </w:p>
          <w:p w14:paraId="2A7D54E9" w14:textId="13D268E2" w:rsidR="00006243" w:rsidRPr="00006243" w:rsidRDefault="00006243" w:rsidP="00C277A4">
            <w:pPr>
              <w:pStyle w:val="ListParagraph"/>
              <w:numPr>
                <w:ilvl w:val="0"/>
                <w:numId w:val="0"/>
              </w:numPr>
              <w:ind w:left="720"/>
              <w:rPr>
                <w:iCs/>
              </w:rPr>
            </w:pPr>
          </w:p>
        </w:tc>
      </w:tr>
    </w:tbl>
    <w:p w14:paraId="2A7D54EB" w14:textId="60DF35A5"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D74BA8" w14:paraId="2399D6C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A9AD" w14:textId="2D58DE1C" w:rsidR="00D74BA8" w:rsidRDefault="00D74BA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E477" w14:textId="20E14AA2" w:rsidR="00D74BA8" w:rsidRDefault="00D74BA8">
            <w:pPr>
              <w:pStyle w:val="TableRowCentered"/>
              <w:jc w:val="left"/>
            </w:pPr>
            <w:r>
              <w:t>Narrowing the</w:t>
            </w:r>
            <w:r w:rsidR="00694647">
              <w:t xml:space="preserve"> attainment gap across reading, </w:t>
            </w:r>
            <w:r>
              <w:t>writing and maths</w:t>
            </w:r>
            <w:r w:rsidR="00F62EBD">
              <w:t xml:space="preserve"> between pupil premium and non-pupil premium children</w:t>
            </w:r>
            <w:r w:rsidR="00231ABC">
              <w:t>.</w:t>
            </w:r>
          </w:p>
          <w:p w14:paraId="03851596" w14:textId="6A688353" w:rsidR="00231ABC" w:rsidRPr="007C01A0" w:rsidRDefault="00231ABC" w:rsidP="007C01A0">
            <w:pPr>
              <w:suppressAutoHyphens w:val="0"/>
              <w:autoSpaceDN/>
              <w:spacing w:before="60" w:after="120" w:line="240" w:lineRule="auto"/>
              <w:ind w:left="57" w:right="57"/>
              <w:rPr>
                <w:rFonts w:cs="Arial"/>
                <w:color w:val="auto"/>
              </w:rPr>
            </w:pPr>
            <w:r w:rsidRPr="00E27862">
              <w:rPr>
                <w:rFonts w:cs="Arial"/>
                <w:iCs/>
                <w:color w:val="auto"/>
              </w:rPr>
              <w:t>Our assessments and observations indicate that the education and wellbeing of m</w:t>
            </w:r>
            <w:r w:rsidRPr="00E27862">
              <w:rPr>
                <w:rFonts w:cs="Arial"/>
                <w:color w:val="auto"/>
              </w:rPr>
              <w:t>any of our disadvantaged pupils have been impacted by partial school closures to a greater extent than for other pupils. These findings are</w:t>
            </w:r>
            <w:r w:rsidR="007C01A0">
              <w:rPr>
                <w:rFonts w:cs="Arial"/>
                <w:color w:val="auto"/>
              </w:rPr>
              <w:t xml:space="preserve"> supported by national studies. This has resulted in gaps in knowledge </w:t>
            </w:r>
            <w:r w:rsidRPr="00E27862">
              <w:rPr>
                <w:rFonts w:cs="Arial"/>
                <w:color w:val="auto"/>
              </w:rPr>
              <w:t xml:space="preserve">leading to </w:t>
            </w:r>
            <w:r w:rsidR="007C01A0">
              <w:rPr>
                <w:rFonts w:cs="Arial"/>
                <w:color w:val="auto"/>
              </w:rPr>
              <w:t xml:space="preserve">some </w:t>
            </w:r>
            <w:r w:rsidRPr="00E27862">
              <w:rPr>
                <w:rFonts w:cs="Arial"/>
                <w:color w:val="auto"/>
              </w:rPr>
              <w:t xml:space="preserve">pupils falling further behind age-related expectations, especially in </w:t>
            </w:r>
            <w:r w:rsidR="00694647">
              <w:rPr>
                <w:rFonts w:cs="Arial"/>
                <w:color w:val="auto"/>
              </w:rPr>
              <w:t xml:space="preserve">writing and </w:t>
            </w:r>
            <w:r w:rsidRPr="00E27862">
              <w:rPr>
                <w:rFonts w:cs="Arial"/>
                <w:color w:val="auto"/>
              </w:rPr>
              <w:t>maths.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12F62BF" w:rsidR="00E66558" w:rsidRDefault="00F62EB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5928695" w:rsidR="00E66558" w:rsidRPr="00B507F9" w:rsidRDefault="00B507F9">
            <w:pPr>
              <w:pStyle w:val="TableRowCentered"/>
              <w:jc w:val="left"/>
              <w:rPr>
                <w:szCs w:val="24"/>
              </w:rPr>
            </w:pPr>
            <w:r w:rsidRPr="00B507F9">
              <w:rPr>
                <w:szCs w:val="24"/>
              </w:rPr>
              <w:t>Ensuring previously high attaining pupil premium pupils make accelerated progress and attain the highest possible levels</w:t>
            </w:r>
            <w:r w:rsidR="00231ABC">
              <w:rPr>
                <w:szCs w:val="24"/>
              </w:rPr>
              <w:t>.</w:t>
            </w:r>
            <w:r w:rsidRPr="00B507F9">
              <w:rPr>
                <w:szCs w:val="24"/>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19D32242" w:rsidR="00E66558" w:rsidRDefault="00F62EB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FCF09" w14:textId="77777777" w:rsidR="00E66558" w:rsidRDefault="00B507F9">
            <w:pPr>
              <w:pStyle w:val="TableRowCentered"/>
              <w:jc w:val="left"/>
              <w:rPr>
                <w:szCs w:val="24"/>
              </w:rPr>
            </w:pPr>
            <w:r w:rsidRPr="00B507F9">
              <w:rPr>
                <w:szCs w:val="24"/>
              </w:rPr>
              <w:t>Many of the pupil premium children do not have the</w:t>
            </w:r>
            <w:r w:rsidR="00C40C40">
              <w:rPr>
                <w:szCs w:val="24"/>
              </w:rPr>
              <w:t xml:space="preserve"> rich and varied experiences that </w:t>
            </w:r>
            <w:r w:rsidRPr="00B507F9">
              <w:rPr>
                <w:szCs w:val="24"/>
              </w:rPr>
              <w:t xml:space="preserve">non-pupil premium children seem to have therefore their knowledge of the </w:t>
            </w:r>
            <w:r w:rsidR="0014345B">
              <w:rPr>
                <w:szCs w:val="24"/>
              </w:rPr>
              <w:t>world</w:t>
            </w:r>
            <w:r w:rsidRPr="00B507F9">
              <w:rPr>
                <w:szCs w:val="24"/>
              </w:rPr>
              <w:t xml:space="preserve"> is limited</w:t>
            </w:r>
            <w:r w:rsidR="00231ABC">
              <w:rPr>
                <w:szCs w:val="24"/>
              </w:rPr>
              <w:t>.</w:t>
            </w:r>
          </w:p>
          <w:p w14:paraId="2A7D54F7" w14:textId="2EBA3DCE" w:rsidR="00231ABC" w:rsidRPr="00231ABC" w:rsidRDefault="00D34F0D" w:rsidP="00231ABC">
            <w:pPr>
              <w:suppressAutoHyphens w:val="0"/>
              <w:autoSpaceDN/>
              <w:spacing w:before="60" w:line="240" w:lineRule="auto"/>
              <w:ind w:left="57" w:right="57"/>
              <w:rPr>
                <w:rFonts w:cs="Arial"/>
                <w:iCs/>
                <w:color w:val="auto"/>
                <w:lang w:val="en-US"/>
              </w:rPr>
            </w:pPr>
            <w:r>
              <w:rPr>
                <w:rFonts w:cs="Arial"/>
                <w:iCs/>
                <w:color w:val="auto"/>
                <w:lang w:val="en-US"/>
              </w:rPr>
              <w:t>Our assessments</w:t>
            </w:r>
            <w:r w:rsidR="00231ABC" w:rsidRPr="00E27862">
              <w:rPr>
                <w:rFonts w:cs="Arial"/>
                <w:iCs/>
                <w:color w:val="auto"/>
                <w:lang w:val="en-US"/>
              </w:rPr>
              <w:t xml:space="preserve">, observations and discussions with pupils and families have </w:t>
            </w:r>
            <w:r w:rsidR="00231ABC">
              <w:rPr>
                <w:rFonts w:cs="Arial"/>
                <w:iCs/>
                <w:color w:val="auto"/>
                <w:lang w:val="en-US"/>
              </w:rPr>
              <w:t>identified</w:t>
            </w:r>
            <w:r w:rsidR="00231ABC" w:rsidRPr="00E27862">
              <w:rPr>
                <w:rFonts w:cs="Arial"/>
                <w:iCs/>
                <w:color w:val="auto"/>
                <w:lang w:val="en-US"/>
              </w:rPr>
              <w:t xml:space="preserve"> a lack of enrichment opportunities</w:t>
            </w:r>
            <w:r w:rsidR="00231ABC">
              <w:rPr>
                <w:rFonts w:cs="Arial"/>
                <w:iCs/>
                <w:color w:val="auto"/>
                <w:lang w:val="en-US"/>
              </w:rPr>
              <w:t xml:space="preserve"> for these pupils, especially</w:t>
            </w:r>
            <w:r w:rsidR="00231ABC" w:rsidRPr="00E27862">
              <w:rPr>
                <w:rFonts w:cs="Arial"/>
                <w:iCs/>
                <w:color w:val="auto"/>
                <w:lang w:val="en-US"/>
              </w:rPr>
              <w:t xml:space="preserve"> during school closure. These challenges particularly affect disadvantaged pupils, including their </w:t>
            </w:r>
            <w:r w:rsidR="00231ABC">
              <w:rPr>
                <w:rFonts w:cs="Arial"/>
                <w:iCs/>
                <w:color w:val="auto"/>
                <w:lang w:val="en-US"/>
              </w:rPr>
              <w:t xml:space="preserve">wellbeing, physical fitness and </w:t>
            </w:r>
            <w:r w:rsidR="00231ABC" w:rsidRPr="00E27862">
              <w:rPr>
                <w:rFonts w:cs="Arial"/>
                <w:iCs/>
                <w:color w:val="auto"/>
                <w:lang w:val="en-US"/>
              </w:rPr>
              <w:t>attainment.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29314FD" w:rsidR="00E66558" w:rsidRDefault="00F62EB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CEA0" w14:textId="30B8AD22" w:rsidR="00231ABC" w:rsidRPr="00231ABC" w:rsidRDefault="00C40C40" w:rsidP="00231ABC">
            <w:pPr>
              <w:suppressAutoHyphens w:val="0"/>
              <w:autoSpaceDN/>
              <w:spacing w:before="60" w:line="240" w:lineRule="auto"/>
              <w:ind w:left="57" w:right="57"/>
              <w:rPr>
                <w:iCs/>
              </w:rPr>
            </w:pPr>
            <w:r w:rsidRPr="00C40C40">
              <w:rPr>
                <w:iCs/>
              </w:rPr>
              <w:t>The pupil premium children have a range of pastoral needs which impact on their academic progress</w:t>
            </w:r>
            <w:r w:rsidR="00231ABC">
              <w:rPr>
                <w:iCs/>
              </w:rPr>
              <w:t xml:space="preserve">. </w:t>
            </w:r>
            <w:r w:rsidR="00231ABC" w:rsidRPr="00E27862">
              <w:rPr>
                <w:rFonts w:cs="Arial"/>
                <w:iCs/>
                <w:color w:val="auto"/>
                <w:lang w:val="en-US"/>
              </w:rPr>
              <w:t>Our assessme</w:t>
            </w:r>
            <w:r w:rsidR="00231ABC">
              <w:rPr>
                <w:rFonts w:cs="Arial"/>
                <w:iCs/>
                <w:color w:val="auto"/>
                <w:lang w:val="en-US"/>
              </w:rPr>
              <w:t>nts</w:t>
            </w:r>
            <w:r w:rsidR="00231ABC" w:rsidRPr="00E27862">
              <w:rPr>
                <w:rFonts w:cs="Arial"/>
                <w:iCs/>
                <w:color w:val="auto"/>
                <w:lang w:val="en-US"/>
              </w:rPr>
              <w:t>, observations and discussions with pupils and families have identified social and emotional issues for many pupils</w:t>
            </w:r>
            <w:r w:rsidR="00FC1311">
              <w:rPr>
                <w:rFonts w:cs="Arial"/>
                <w:iCs/>
                <w:color w:val="auto"/>
                <w:lang w:val="en-US"/>
              </w:rPr>
              <w:t>,</w:t>
            </w:r>
            <w:r w:rsidR="00231ABC">
              <w:rPr>
                <w:rFonts w:cs="Arial"/>
                <w:iCs/>
                <w:color w:val="auto"/>
                <w:lang w:val="en-US"/>
              </w:rPr>
              <w:t xml:space="preserve"> particularly</w:t>
            </w:r>
            <w:r w:rsidR="00231ABC" w:rsidRPr="00E27862">
              <w:rPr>
                <w:rFonts w:cs="Arial"/>
                <w:iCs/>
                <w:color w:val="auto"/>
                <w:lang w:val="en-US"/>
              </w:rPr>
              <w:t xml:space="preserve"> during school closure. </w:t>
            </w:r>
          </w:p>
          <w:p w14:paraId="2A7D54FA" w14:textId="77F9942C" w:rsidR="00E66558" w:rsidRPr="00C40C40" w:rsidRDefault="00231ABC" w:rsidP="00231ABC">
            <w:pPr>
              <w:pStyle w:val="TableRowCentered"/>
              <w:jc w:val="left"/>
              <w:rPr>
                <w:iCs/>
                <w:szCs w:val="24"/>
              </w:rPr>
            </w:pPr>
            <w:r w:rsidRPr="00E27862">
              <w:rPr>
                <w:rFonts w:cs="Arial"/>
                <w:color w:val="auto"/>
                <w:lang w:eastAsia="en-US"/>
              </w:rPr>
              <w:t>Teacher ref</w:t>
            </w:r>
            <w:r w:rsidR="00D34F0D">
              <w:rPr>
                <w:rFonts w:cs="Arial"/>
                <w:color w:val="auto"/>
                <w:lang w:eastAsia="en-US"/>
              </w:rPr>
              <w:t>errals for support have</w:t>
            </w:r>
            <w:r w:rsidRPr="00E27862">
              <w:rPr>
                <w:rFonts w:cs="Arial"/>
                <w:color w:val="auto"/>
                <w:lang w:eastAsia="en-US"/>
              </w:rPr>
              <w:t xml:space="preserve"> increased during the pandemic. </w:t>
            </w:r>
            <w:r w:rsidR="00570C3B" w:rsidRPr="00B4223A">
              <w:rPr>
                <w:rFonts w:cs="Arial"/>
                <w:color w:val="auto"/>
                <w:lang w:eastAsia="en-US"/>
              </w:rPr>
              <w:t>38</w:t>
            </w:r>
            <w:r w:rsidRPr="00B4223A">
              <w:rPr>
                <w:rFonts w:cs="Arial"/>
                <w:color w:val="auto"/>
                <w:lang w:eastAsia="en-US"/>
              </w:rPr>
              <w:t xml:space="preserve"> pupils (</w:t>
            </w:r>
            <w:r w:rsidR="0063677A" w:rsidRPr="00B4223A">
              <w:rPr>
                <w:rFonts w:cs="Arial"/>
                <w:color w:val="auto"/>
                <w:lang w:eastAsia="en-US"/>
              </w:rPr>
              <w:t>10</w:t>
            </w:r>
            <w:r w:rsidRPr="00E27862">
              <w:rPr>
                <w:rFonts w:cs="Arial"/>
                <w:color w:val="auto"/>
                <w:lang w:eastAsia="en-US"/>
              </w:rPr>
              <w:t xml:space="preserve"> of whom are disadvantaged) currently require additional support with social and emotional needs, with </w:t>
            </w:r>
            <w:r w:rsidR="0063677A">
              <w:rPr>
                <w:rFonts w:cs="Arial"/>
                <w:color w:val="auto"/>
                <w:lang w:eastAsia="en-US"/>
              </w:rPr>
              <w:t>25</w:t>
            </w:r>
            <w:r w:rsidRPr="00E27862">
              <w:rPr>
                <w:rFonts w:cs="Arial"/>
                <w:color w:val="auto"/>
                <w:lang w:eastAsia="en-US"/>
              </w:rPr>
              <w:t xml:space="preserve"> (</w:t>
            </w:r>
            <w:r w:rsidR="0063677A">
              <w:rPr>
                <w:rFonts w:cs="Arial"/>
                <w:color w:val="auto"/>
                <w:lang w:eastAsia="en-US"/>
              </w:rPr>
              <w:t>10</w:t>
            </w:r>
            <w:r w:rsidRPr="00E27862">
              <w:rPr>
                <w:rFonts w:cs="Arial"/>
                <w:color w:val="auto"/>
                <w:lang w:eastAsia="en-US"/>
              </w:rPr>
              <w:t xml:space="preserve"> of whom are disadvantaged)</w:t>
            </w:r>
            <w:r w:rsidR="00570C3B">
              <w:rPr>
                <w:rFonts w:cs="Arial"/>
                <w:color w:val="auto"/>
                <w:lang w:eastAsia="en-US"/>
              </w:rPr>
              <w:t xml:space="preserve"> receiving</w:t>
            </w:r>
            <w:r w:rsidRPr="00E27862">
              <w:rPr>
                <w:rFonts w:cs="Arial"/>
                <w:color w:val="auto"/>
                <w:lang w:eastAsia="en-US"/>
              </w:rPr>
              <w:t xml:space="preserve"> </w:t>
            </w:r>
            <w:r w:rsidR="0063677A">
              <w:rPr>
                <w:rFonts w:cs="Arial"/>
                <w:color w:val="auto"/>
                <w:lang w:eastAsia="en-US"/>
              </w:rPr>
              <w:t>small group</w:t>
            </w:r>
            <w:r w:rsidR="007C01A0">
              <w:rPr>
                <w:rFonts w:cs="Arial"/>
                <w:color w:val="auto"/>
                <w:lang w:eastAsia="en-US"/>
              </w:rPr>
              <w:t xml:space="preserve"> or 1:1</w:t>
            </w:r>
            <w:r w:rsidR="0063677A">
              <w:rPr>
                <w:rFonts w:cs="Arial"/>
                <w:color w:val="auto"/>
                <w:lang w:eastAsia="en-US"/>
              </w:rPr>
              <w:t xml:space="preserve"> </w:t>
            </w:r>
            <w:r w:rsidRPr="00E27862">
              <w:rPr>
                <w:rFonts w:cs="Arial"/>
                <w:color w:val="auto"/>
                <w:lang w:eastAsia="en-US"/>
              </w:rPr>
              <w:t>interventions.</w:t>
            </w:r>
          </w:p>
        </w:tc>
      </w:tr>
    </w:tbl>
    <w:p w14:paraId="2A7D54FF" w14:textId="44DAA8D3" w:rsidR="00E66558" w:rsidRDefault="00B4223A" w:rsidP="00B4223A">
      <w:pPr>
        <w:pStyle w:val="Heading2"/>
        <w:spacing w:before="600"/>
      </w:pPr>
      <w:bookmarkStart w:id="17" w:name="_Toc443397160"/>
      <w:r>
        <w:t>I</w:t>
      </w:r>
      <w:r w:rsidR="009D71E8">
        <w:t xml:space="preserve">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D33286" w:rsidR="00E66558" w:rsidRPr="00482087" w:rsidRDefault="00482087" w:rsidP="00482087">
            <w:pPr>
              <w:pStyle w:val="TableRow"/>
              <w:rPr>
                <w:sz w:val="22"/>
                <w:szCs w:val="22"/>
              </w:rPr>
            </w:pPr>
            <w:r w:rsidRPr="00482087">
              <w:rPr>
                <w:sz w:val="22"/>
                <w:szCs w:val="22"/>
              </w:rPr>
              <w:t xml:space="preserve">1 </w:t>
            </w:r>
            <w:r>
              <w:rPr>
                <w:sz w:val="22"/>
                <w:szCs w:val="22"/>
              </w:rPr>
              <w:t>-</w:t>
            </w:r>
            <w:r w:rsidRPr="00482087">
              <w:rPr>
                <w:sz w:val="22"/>
                <w:szCs w:val="22"/>
              </w:rPr>
              <w:t>Pupils make at least expected progress in reading, writing and maths</w:t>
            </w:r>
            <w:r w:rsidR="00426548">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4E65" w14:textId="3C74963F" w:rsidR="00C277A4" w:rsidRPr="007C01A0" w:rsidRDefault="00C277A4" w:rsidP="007C01A0">
            <w:pPr>
              <w:pStyle w:val="ListParagraph"/>
              <w:numPr>
                <w:ilvl w:val="0"/>
                <w:numId w:val="28"/>
              </w:numPr>
              <w:pBdr>
                <w:top w:val="nil"/>
                <w:left w:val="nil"/>
                <w:bottom w:val="nil"/>
                <w:right w:val="nil"/>
                <w:between w:val="nil"/>
              </w:pBdr>
              <w:spacing w:before="60" w:after="60" w:line="240" w:lineRule="auto"/>
              <w:ind w:right="57"/>
              <w:rPr>
                <w:sz w:val="22"/>
                <w:szCs w:val="22"/>
              </w:rPr>
            </w:pPr>
            <w:r w:rsidRPr="00C277A4">
              <w:rPr>
                <w:sz w:val="22"/>
                <w:szCs w:val="22"/>
              </w:rPr>
              <w:t>The difference between PP and non-PP</w:t>
            </w:r>
            <w:r w:rsidR="005D496A">
              <w:rPr>
                <w:sz w:val="22"/>
                <w:szCs w:val="22"/>
              </w:rPr>
              <w:t xml:space="preserve"> pupils reducing year upon year</w:t>
            </w:r>
          </w:p>
          <w:p w14:paraId="2FA8A2A5" w14:textId="27F0ECC0" w:rsidR="00C277A4" w:rsidRPr="00C277A4" w:rsidRDefault="00C277A4" w:rsidP="00C277A4">
            <w:pPr>
              <w:pStyle w:val="TableRowCentered"/>
              <w:numPr>
                <w:ilvl w:val="0"/>
                <w:numId w:val="28"/>
              </w:numPr>
              <w:jc w:val="left"/>
              <w:rPr>
                <w:sz w:val="22"/>
                <w:szCs w:val="22"/>
              </w:rPr>
            </w:pPr>
            <w:r>
              <w:rPr>
                <w:sz w:val="22"/>
                <w:szCs w:val="22"/>
              </w:rPr>
              <w:t>School outcomes in 2023/24 at EYFS, KS1 and KS2</w:t>
            </w:r>
            <w:r w:rsidR="007C01A0">
              <w:rPr>
                <w:sz w:val="22"/>
                <w:szCs w:val="22"/>
              </w:rPr>
              <w:t xml:space="preserve"> at least in line with national</w:t>
            </w:r>
            <w:r w:rsidR="00D34F0D">
              <w:rPr>
                <w:sz w:val="22"/>
                <w:szCs w:val="22"/>
              </w:rPr>
              <w:t xml:space="preserve"> figures</w:t>
            </w:r>
          </w:p>
          <w:p w14:paraId="2A7D5505" w14:textId="781F39F8" w:rsidR="00482087" w:rsidRPr="00C277A4" w:rsidRDefault="00F62EBD" w:rsidP="00C277A4">
            <w:pPr>
              <w:pStyle w:val="TableRow"/>
              <w:numPr>
                <w:ilvl w:val="0"/>
                <w:numId w:val="19"/>
              </w:numPr>
              <w:rPr>
                <w:sz w:val="22"/>
                <w:szCs w:val="22"/>
              </w:rPr>
            </w:pPr>
            <w:r>
              <w:rPr>
                <w:sz w:val="22"/>
                <w:szCs w:val="22"/>
              </w:rPr>
              <w:lastRenderedPageBreak/>
              <w:t>The attainment ga</w:t>
            </w:r>
            <w:r w:rsidR="007C01A0">
              <w:rPr>
                <w:sz w:val="22"/>
                <w:szCs w:val="22"/>
              </w:rPr>
              <w:t>p between girls and boys</w:t>
            </w:r>
            <w:r>
              <w:rPr>
                <w:sz w:val="22"/>
                <w:szCs w:val="22"/>
              </w:rPr>
              <w:t xml:space="preserve"> reduced by the end of the key stages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627B84B" w:rsidR="00E66558" w:rsidRDefault="00F62EBD">
            <w:pPr>
              <w:pStyle w:val="TableRow"/>
              <w:rPr>
                <w:sz w:val="22"/>
                <w:szCs w:val="22"/>
              </w:rPr>
            </w:pPr>
            <w:r>
              <w:rPr>
                <w:sz w:val="22"/>
                <w:szCs w:val="22"/>
              </w:rPr>
              <w:lastRenderedPageBreak/>
              <w:t xml:space="preserve">2 </w:t>
            </w:r>
            <w:r w:rsidR="00C4032F">
              <w:rPr>
                <w:sz w:val="22"/>
                <w:szCs w:val="22"/>
              </w:rPr>
              <w:t>- High achieving pupils achieve greater depth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0BD38B0" w:rsidR="00E66558" w:rsidRDefault="00C4032F" w:rsidP="00C277A4">
            <w:pPr>
              <w:pStyle w:val="TableRowCentered"/>
              <w:jc w:val="left"/>
              <w:rPr>
                <w:sz w:val="22"/>
                <w:szCs w:val="22"/>
              </w:rPr>
            </w:pPr>
            <w:r>
              <w:rPr>
                <w:sz w:val="22"/>
                <w:szCs w:val="22"/>
              </w:rPr>
              <w:t>Those achieving greater depth at baseli</w:t>
            </w:r>
            <w:r w:rsidR="00C277A4">
              <w:rPr>
                <w:sz w:val="22"/>
                <w:szCs w:val="22"/>
              </w:rPr>
              <w:t xml:space="preserve">ne will maintain greater depth </w:t>
            </w:r>
            <w:r>
              <w:rPr>
                <w:sz w:val="22"/>
                <w:szCs w:val="22"/>
              </w:rPr>
              <w:t>at the end of the year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4983727" w:rsidR="00E66558" w:rsidRDefault="00F62EBD">
            <w:pPr>
              <w:pStyle w:val="TableRow"/>
              <w:rPr>
                <w:sz w:val="22"/>
                <w:szCs w:val="22"/>
              </w:rPr>
            </w:pPr>
            <w:r>
              <w:rPr>
                <w:sz w:val="22"/>
                <w:szCs w:val="22"/>
              </w:rPr>
              <w:t xml:space="preserve">3 </w:t>
            </w:r>
            <w:r w:rsidR="00563AFD">
              <w:rPr>
                <w:sz w:val="22"/>
                <w:szCs w:val="22"/>
              </w:rPr>
              <w:t>- Pupil premium pupils</w:t>
            </w:r>
            <w:r w:rsidR="003B4B2F">
              <w:rPr>
                <w:sz w:val="22"/>
                <w:szCs w:val="22"/>
              </w:rPr>
              <w:t xml:space="preserve"> enjoy the wide range of enrichment activities we have on offer at St Ethelbert’s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8F92" w14:textId="77777777" w:rsidR="00C277A4" w:rsidRPr="00C277A4" w:rsidRDefault="00C277A4" w:rsidP="00C277A4">
            <w:pPr>
              <w:suppressAutoHyphens w:val="0"/>
              <w:autoSpaceDN/>
              <w:spacing w:before="60" w:after="60" w:line="240" w:lineRule="auto"/>
              <w:ind w:left="34" w:right="57"/>
              <w:rPr>
                <w:rFonts w:cs="Arial"/>
                <w:color w:val="auto"/>
                <w:sz w:val="22"/>
                <w:szCs w:val="22"/>
              </w:rPr>
            </w:pPr>
            <w:r w:rsidRPr="00C277A4">
              <w:rPr>
                <w:rFonts w:cs="Arial"/>
                <w:color w:val="auto"/>
                <w:sz w:val="22"/>
                <w:szCs w:val="22"/>
              </w:rPr>
              <w:t>Sustained high levels of wellbeing from 2024/25 demonstrated by:</w:t>
            </w:r>
          </w:p>
          <w:p w14:paraId="6D8A8596" w14:textId="0D68656B" w:rsidR="00C277A4" w:rsidRPr="00C277A4" w:rsidRDefault="00C277A4" w:rsidP="00C277A4">
            <w:pPr>
              <w:pStyle w:val="ListParagraph"/>
              <w:numPr>
                <w:ilvl w:val="0"/>
                <w:numId w:val="18"/>
              </w:numPr>
              <w:suppressAutoHyphens w:val="0"/>
              <w:autoSpaceDN/>
              <w:spacing w:before="60" w:after="120" w:line="240" w:lineRule="auto"/>
              <w:ind w:right="57"/>
              <w:contextualSpacing w:val="0"/>
              <w:rPr>
                <w:rFonts w:cs="Arial"/>
                <w:color w:val="auto"/>
                <w:sz w:val="22"/>
                <w:szCs w:val="22"/>
              </w:rPr>
            </w:pPr>
            <w:r w:rsidRPr="00C277A4">
              <w:rPr>
                <w:rFonts w:cs="Arial"/>
                <w:color w:val="auto"/>
                <w:sz w:val="22"/>
                <w:szCs w:val="22"/>
              </w:rPr>
              <w:t>qualitative data from student voice, student and parent surveys and teacher observations</w:t>
            </w:r>
          </w:p>
          <w:p w14:paraId="3E99FB1D" w14:textId="7633AD45" w:rsidR="00B4223A" w:rsidRDefault="00C277A4" w:rsidP="00C277A4">
            <w:pPr>
              <w:pStyle w:val="TableRowCentered"/>
              <w:numPr>
                <w:ilvl w:val="0"/>
                <w:numId w:val="18"/>
              </w:numPr>
              <w:jc w:val="left"/>
              <w:rPr>
                <w:sz w:val="22"/>
                <w:szCs w:val="22"/>
              </w:rPr>
            </w:pPr>
            <w:r w:rsidRPr="00C277A4">
              <w:rPr>
                <w:rFonts w:cs="Arial"/>
                <w:color w:val="auto"/>
                <w:sz w:val="22"/>
                <w:szCs w:val="22"/>
              </w:rPr>
              <w:t>a significant increase in participation in enrichment activities, particularly among disadvantaged pupils</w:t>
            </w:r>
            <w:r w:rsidRPr="00E27862">
              <w:rPr>
                <w:rFonts w:cs="Arial"/>
                <w:color w:val="auto"/>
              </w:rPr>
              <w:t xml:space="preserve">    </w:t>
            </w:r>
          </w:p>
          <w:p w14:paraId="1DBC65D9" w14:textId="5DD040D4" w:rsidR="00D27500" w:rsidRDefault="00D27500" w:rsidP="00C277A4">
            <w:pPr>
              <w:pStyle w:val="TableRowCentered"/>
              <w:numPr>
                <w:ilvl w:val="0"/>
                <w:numId w:val="18"/>
              </w:numPr>
              <w:jc w:val="left"/>
              <w:rPr>
                <w:sz w:val="22"/>
                <w:szCs w:val="22"/>
              </w:rPr>
            </w:pPr>
            <w:r>
              <w:rPr>
                <w:sz w:val="22"/>
                <w:szCs w:val="22"/>
              </w:rPr>
              <w:t>PP children have opportunities for leadership roles across the school</w:t>
            </w:r>
          </w:p>
          <w:p w14:paraId="2A7D550E" w14:textId="469D95E1" w:rsidR="00C4032F" w:rsidRPr="007C01A0" w:rsidRDefault="00B94B9C" w:rsidP="007C01A0">
            <w:pPr>
              <w:pStyle w:val="TableRowCentered"/>
              <w:numPr>
                <w:ilvl w:val="0"/>
                <w:numId w:val="18"/>
              </w:numPr>
              <w:jc w:val="left"/>
              <w:rPr>
                <w:sz w:val="22"/>
                <w:szCs w:val="22"/>
              </w:rPr>
            </w:pPr>
            <w:r>
              <w:rPr>
                <w:sz w:val="22"/>
                <w:szCs w:val="22"/>
              </w:rPr>
              <w:t>Discounts in line with our charging policy will continue to apply to pupil premium families for all enrichment opportunities to include trips and visits, music lessons, residential trips and experiences that were miss</w:t>
            </w:r>
            <w:r w:rsidR="007C01A0">
              <w:rPr>
                <w:sz w:val="22"/>
                <w:szCs w:val="22"/>
              </w:rPr>
              <w:t>ed due to Covid</w:t>
            </w:r>
          </w:p>
        </w:tc>
      </w:tr>
      <w:tr w:rsidR="00577CBA" w14:paraId="7519F33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0930" w14:textId="405C2D3A" w:rsidR="00577CBA" w:rsidRDefault="00F62EBD">
            <w:pPr>
              <w:pStyle w:val="TableRow"/>
              <w:rPr>
                <w:sz w:val="22"/>
                <w:szCs w:val="22"/>
              </w:rPr>
            </w:pPr>
            <w:r>
              <w:rPr>
                <w:sz w:val="22"/>
                <w:szCs w:val="22"/>
              </w:rPr>
              <w:t xml:space="preserve">4 </w:t>
            </w:r>
            <w:r w:rsidR="00577CBA">
              <w:rPr>
                <w:sz w:val="22"/>
                <w:szCs w:val="22"/>
              </w:rPr>
              <w:t xml:space="preserve">- Pupils are supported socially and emotionally at St Ethelbert’s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1121" w14:textId="77777777" w:rsidR="00C277A4" w:rsidRDefault="00C277A4" w:rsidP="00C277A4">
            <w:pPr>
              <w:pBdr>
                <w:top w:val="nil"/>
                <w:left w:val="nil"/>
                <w:bottom w:val="nil"/>
                <w:right w:val="nil"/>
                <w:between w:val="nil"/>
              </w:pBdr>
              <w:spacing w:before="60" w:after="60" w:line="240" w:lineRule="auto"/>
              <w:ind w:left="57" w:right="57"/>
              <w:rPr>
                <w:sz w:val="22"/>
                <w:szCs w:val="22"/>
              </w:rPr>
            </w:pPr>
            <w:r>
              <w:rPr>
                <w:sz w:val="22"/>
                <w:szCs w:val="22"/>
              </w:rPr>
              <w:t>Sustained high levels of wellbeing from 2023/24 demonstrated by:</w:t>
            </w:r>
          </w:p>
          <w:p w14:paraId="3BA6D22A" w14:textId="24E2C981" w:rsidR="00C277A4" w:rsidRPr="005D496A" w:rsidRDefault="00C277A4" w:rsidP="005D496A">
            <w:pPr>
              <w:pStyle w:val="TableRowCentered"/>
              <w:numPr>
                <w:ilvl w:val="0"/>
                <w:numId w:val="18"/>
              </w:numPr>
              <w:jc w:val="left"/>
              <w:rPr>
                <w:sz w:val="22"/>
                <w:szCs w:val="22"/>
              </w:rPr>
            </w:pPr>
            <w:r>
              <w:rPr>
                <w:sz w:val="22"/>
                <w:szCs w:val="22"/>
              </w:rPr>
              <w:t xml:space="preserve">qualitative data from pupil voice reporting that they feel happy, safe and valued in school </w:t>
            </w:r>
            <w:r w:rsidR="005D496A">
              <w:rPr>
                <w:sz w:val="22"/>
                <w:szCs w:val="22"/>
              </w:rPr>
              <w:t>and understand who to go to if they are concerned or worried</w:t>
            </w:r>
          </w:p>
          <w:p w14:paraId="6AC811F3" w14:textId="20281F0A" w:rsidR="00577CBA" w:rsidRDefault="00577CBA" w:rsidP="00C277A4">
            <w:pPr>
              <w:pStyle w:val="TableRowCentered"/>
              <w:numPr>
                <w:ilvl w:val="0"/>
                <w:numId w:val="18"/>
              </w:numPr>
              <w:jc w:val="left"/>
              <w:rPr>
                <w:sz w:val="22"/>
                <w:szCs w:val="22"/>
              </w:rPr>
            </w:pPr>
            <w:r>
              <w:rPr>
                <w:sz w:val="22"/>
                <w:szCs w:val="22"/>
              </w:rPr>
              <w:t>Every member of staff will be a mentor to a disadvantaged pupil in order to offer personalised support</w:t>
            </w:r>
          </w:p>
          <w:p w14:paraId="3E3B786F" w14:textId="3585078D" w:rsidR="00426548" w:rsidRDefault="00426548" w:rsidP="00C277A4">
            <w:pPr>
              <w:pStyle w:val="TableRowCentered"/>
              <w:numPr>
                <w:ilvl w:val="0"/>
                <w:numId w:val="18"/>
              </w:numPr>
              <w:jc w:val="left"/>
              <w:rPr>
                <w:sz w:val="22"/>
                <w:szCs w:val="22"/>
              </w:rPr>
            </w:pPr>
            <w:r>
              <w:rPr>
                <w:sz w:val="22"/>
                <w:szCs w:val="22"/>
              </w:rPr>
              <w:t>Peer mentor scheme to run again where children are trained to support each other</w:t>
            </w:r>
          </w:p>
          <w:p w14:paraId="428C4649" w14:textId="77777777" w:rsidR="00C277A4" w:rsidRDefault="00C277A4" w:rsidP="00C277A4">
            <w:pPr>
              <w:numPr>
                <w:ilvl w:val="0"/>
                <w:numId w:val="18"/>
              </w:numPr>
              <w:pBdr>
                <w:top w:val="nil"/>
                <w:left w:val="nil"/>
                <w:bottom w:val="nil"/>
                <w:right w:val="nil"/>
                <w:between w:val="nil"/>
              </w:pBdr>
              <w:autoSpaceDN/>
              <w:spacing w:after="0" w:line="240" w:lineRule="auto"/>
              <w:ind w:right="57"/>
              <w:rPr>
                <w:sz w:val="22"/>
                <w:szCs w:val="22"/>
              </w:rPr>
            </w:pPr>
            <w:r>
              <w:rPr>
                <w:sz w:val="22"/>
                <w:szCs w:val="22"/>
              </w:rPr>
              <w:t>teacher observations</w:t>
            </w:r>
          </w:p>
          <w:p w14:paraId="1C0B35C1" w14:textId="45B2B989" w:rsidR="00C277A4" w:rsidRDefault="005D496A" w:rsidP="00C277A4">
            <w:pPr>
              <w:pStyle w:val="TableRowCentered"/>
              <w:numPr>
                <w:ilvl w:val="0"/>
                <w:numId w:val="18"/>
              </w:numPr>
              <w:jc w:val="left"/>
              <w:rPr>
                <w:sz w:val="22"/>
                <w:szCs w:val="22"/>
              </w:rPr>
            </w:pPr>
            <w:r>
              <w:rPr>
                <w:sz w:val="22"/>
                <w:szCs w:val="22"/>
              </w:rPr>
              <w:t xml:space="preserve">monitoring of ELSA </w:t>
            </w:r>
            <w:r w:rsidR="00C277A4">
              <w:rPr>
                <w:sz w:val="22"/>
                <w:szCs w:val="22"/>
              </w:rPr>
              <w:t>support to identify impact</w:t>
            </w:r>
          </w:p>
        </w:tc>
      </w:tr>
    </w:tbl>
    <w:p w14:paraId="7459F448" w14:textId="77777777" w:rsidR="00B4223A" w:rsidRDefault="00B4223A" w:rsidP="00D27500">
      <w:pPr>
        <w:suppressAutoHyphens w:val="0"/>
        <w:spacing w:after="0" w:line="240" w:lineRule="auto"/>
        <w:rPr>
          <w:b/>
          <w:color w:val="104F75"/>
          <w:sz w:val="32"/>
          <w:szCs w:val="32"/>
        </w:rPr>
      </w:pPr>
    </w:p>
    <w:p w14:paraId="2A7D5512" w14:textId="64D90321" w:rsidR="00E66558" w:rsidRPr="00D27500" w:rsidRDefault="009D71E8" w:rsidP="00D27500">
      <w:pPr>
        <w:suppressAutoHyphens w:val="0"/>
        <w:spacing w:after="0" w:line="240" w:lineRule="auto"/>
        <w:rPr>
          <w:b/>
          <w:color w:val="104F75"/>
          <w:sz w:val="32"/>
          <w:szCs w:val="32"/>
        </w:rPr>
      </w:pPr>
      <w:r>
        <w:t>Activity in this academic year</w:t>
      </w:r>
    </w:p>
    <w:p w14:paraId="4BE698B9" w14:textId="347FD9A2" w:rsidR="006448C5" w:rsidRDefault="009D71E8" w:rsidP="00D34F0D">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6935757" w:rsidR="00E66558" w:rsidRDefault="009D71E8">
      <w:pPr>
        <w:pStyle w:val="Heading3"/>
      </w:pPr>
      <w:r>
        <w:t>Teaching (for example, CPD, recruitment and retention)</w:t>
      </w:r>
    </w:p>
    <w:p w14:paraId="2A7D5515" w14:textId="0A76CA89" w:rsidR="00E66558" w:rsidRDefault="00D27500">
      <w:r>
        <w:t>Budgeted cost: £</w:t>
      </w:r>
      <w:r w:rsidR="00204669">
        <w:t>18</w:t>
      </w:r>
      <w:r w:rsidR="00725D21">
        <w:t>,100</w:t>
      </w:r>
    </w:p>
    <w:tbl>
      <w:tblPr>
        <w:tblW w:w="5000" w:type="pct"/>
        <w:tblCellMar>
          <w:left w:w="10" w:type="dxa"/>
          <w:right w:w="10" w:type="dxa"/>
        </w:tblCellMar>
        <w:tblLook w:val="04A0" w:firstRow="1" w:lastRow="0" w:firstColumn="1" w:lastColumn="0" w:noHBand="0" w:noVBand="1"/>
      </w:tblPr>
      <w:tblGrid>
        <w:gridCol w:w="1646"/>
        <w:gridCol w:w="6054"/>
        <w:gridCol w:w="1786"/>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9C15" w14:textId="749E543E" w:rsidR="00D27500" w:rsidRPr="00AC5776" w:rsidRDefault="00D27500" w:rsidP="00D27500">
            <w:pPr>
              <w:pStyle w:val="TableRow"/>
              <w:rPr>
                <w:rFonts w:cs="Calibri"/>
                <w:i/>
                <w:sz w:val="22"/>
                <w:szCs w:val="22"/>
              </w:rPr>
            </w:pPr>
            <w:r w:rsidRPr="00AC5776">
              <w:rPr>
                <w:rFonts w:cs="Calibri"/>
                <w:i/>
                <w:sz w:val="22"/>
                <w:szCs w:val="22"/>
              </w:rPr>
              <w:t>Teaching: Ongoing</w:t>
            </w:r>
          </w:p>
          <w:p w14:paraId="14ABB763" w14:textId="6AB7AFD6" w:rsidR="00D27500" w:rsidRPr="00AC5776" w:rsidRDefault="00D27500" w:rsidP="00D27500">
            <w:pPr>
              <w:pStyle w:val="TableRow"/>
              <w:rPr>
                <w:rFonts w:cs="Calibri"/>
                <w:i/>
                <w:sz w:val="22"/>
                <w:szCs w:val="22"/>
              </w:rPr>
            </w:pPr>
            <w:r w:rsidRPr="00AC5776">
              <w:rPr>
                <w:rFonts w:cs="Calibri"/>
                <w:i/>
                <w:sz w:val="22"/>
                <w:szCs w:val="22"/>
              </w:rPr>
              <w:t>CPD to improve teaching in writing</w:t>
            </w:r>
            <w:r w:rsidR="004724D1">
              <w:rPr>
                <w:rFonts w:cs="Calibri"/>
                <w:i/>
                <w:sz w:val="22"/>
                <w:szCs w:val="22"/>
              </w:rPr>
              <w:t xml:space="preserve"> (linked to SDP)</w:t>
            </w:r>
          </w:p>
          <w:p w14:paraId="2A7D551A" w14:textId="3D5BB550" w:rsidR="00E66558" w:rsidRPr="00426548" w:rsidRDefault="00E66558" w:rsidP="00D27500">
            <w:pPr>
              <w:pStyle w:val="TableRow"/>
              <w:ind w:lef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63AF" w14:textId="2AFADF80" w:rsidR="00D27500" w:rsidRDefault="00D27500" w:rsidP="00D27500">
            <w:pPr>
              <w:pStyle w:val="TableRowCentered"/>
              <w:jc w:val="left"/>
              <w:rPr>
                <w:sz w:val="22"/>
                <w:szCs w:val="22"/>
              </w:rPr>
            </w:pPr>
            <w:r>
              <w:rPr>
                <w:sz w:val="22"/>
                <w:szCs w:val="22"/>
              </w:rPr>
              <w:t xml:space="preserve">+ </w:t>
            </w:r>
            <w:r w:rsidR="00115C47">
              <w:rPr>
                <w:sz w:val="22"/>
                <w:szCs w:val="22"/>
              </w:rPr>
              <w:t>A</w:t>
            </w:r>
            <w:r>
              <w:rPr>
                <w:sz w:val="22"/>
                <w:szCs w:val="22"/>
              </w:rPr>
              <w:t>ll relevant staff</w:t>
            </w:r>
            <w:r w:rsidR="00115C47">
              <w:rPr>
                <w:sz w:val="22"/>
                <w:szCs w:val="22"/>
              </w:rPr>
              <w:t xml:space="preserve"> will receive CPD</w:t>
            </w:r>
            <w:r>
              <w:rPr>
                <w:sz w:val="22"/>
                <w:szCs w:val="22"/>
              </w:rPr>
              <w:t xml:space="preserve"> training on </w:t>
            </w:r>
            <w:r w:rsidR="00DE77A8">
              <w:rPr>
                <w:sz w:val="22"/>
                <w:szCs w:val="22"/>
              </w:rPr>
              <w:t>Herts 4 Learning writing scheme to ensure teaching of writing is well planned and well delivered</w:t>
            </w:r>
            <w:r w:rsidR="00115C47">
              <w:rPr>
                <w:sz w:val="22"/>
                <w:szCs w:val="22"/>
              </w:rPr>
              <w:t xml:space="preserve"> across the school</w:t>
            </w:r>
          </w:p>
          <w:p w14:paraId="0F7454BA" w14:textId="77777777" w:rsidR="00E66558" w:rsidRDefault="00D27500" w:rsidP="00D27500">
            <w:pPr>
              <w:pStyle w:val="TableRowCentered"/>
              <w:jc w:val="left"/>
              <w:rPr>
                <w:sz w:val="22"/>
                <w:szCs w:val="22"/>
              </w:rPr>
            </w:pPr>
            <w:r>
              <w:rPr>
                <w:sz w:val="22"/>
                <w:szCs w:val="22"/>
              </w:rPr>
              <w:t>+ English Lead has time out of class to help embed effective teaching of writing.</w:t>
            </w:r>
          </w:p>
          <w:p w14:paraId="57DCD0C6" w14:textId="77777777" w:rsidR="00C000AC" w:rsidRDefault="00C000AC" w:rsidP="00C000AC">
            <w:pPr>
              <w:spacing w:before="60" w:after="60" w:line="240" w:lineRule="auto"/>
              <w:ind w:left="57" w:right="57"/>
              <w:rPr>
                <w:sz w:val="22"/>
                <w:szCs w:val="22"/>
              </w:rPr>
            </w:pPr>
            <w:r>
              <w:rPr>
                <w:sz w:val="22"/>
                <w:szCs w:val="22"/>
              </w:rPr>
              <w:t>The EEF Guide to the Pupil Premium - Autumn 2021</w:t>
            </w:r>
          </w:p>
          <w:p w14:paraId="2A7D551B" w14:textId="4D42202F" w:rsidR="00C000AC" w:rsidRDefault="00015622" w:rsidP="00C000AC">
            <w:pPr>
              <w:pStyle w:val="TableRowCentered"/>
              <w:jc w:val="left"/>
              <w:rPr>
                <w:sz w:val="22"/>
              </w:rPr>
            </w:pPr>
            <w:hyperlink r:id="rId9">
              <w:r w:rsidR="00C000AC">
                <w:rPr>
                  <w:color w:val="1155CC"/>
                  <w:sz w:val="22"/>
                  <w:szCs w:val="22"/>
                  <w:u w:val="single"/>
                </w:rPr>
                <w:t>https://d2tic4wvo1iusb.cloudfront.net/documents/guidance-for-teachers/pupil-premium/EEF-Guide-to-the-Pupil-Premium-Autumn-2021.pdf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B09C" w14:textId="77777777" w:rsidR="00E66558" w:rsidRDefault="00D27500">
            <w:pPr>
              <w:pStyle w:val="TableRowCentered"/>
              <w:jc w:val="left"/>
              <w:rPr>
                <w:sz w:val="22"/>
              </w:rPr>
            </w:pPr>
            <w:r>
              <w:rPr>
                <w:sz w:val="22"/>
              </w:rPr>
              <w:t>1</w:t>
            </w:r>
          </w:p>
          <w:p w14:paraId="2A7D551C" w14:textId="71D26704" w:rsidR="00D27500" w:rsidRDefault="00D27500">
            <w:pPr>
              <w:pStyle w:val="TableRowCentered"/>
              <w:jc w:val="left"/>
              <w:rPr>
                <w:sz w:val="22"/>
              </w:rPr>
            </w:pPr>
            <w:r>
              <w:rPr>
                <w:sz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A6F9" w14:textId="5E1FF311" w:rsidR="00DE77A8" w:rsidRPr="00DE77A8" w:rsidRDefault="00DE77A8" w:rsidP="00DE77A8">
            <w:pPr>
              <w:pStyle w:val="TableRow"/>
              <w:textAlignment w:val="baseline"/>
              <w:rPr>
                <w:i/>
                <w:color w:val="000000" w:themeColor="text1"/>
                <w:sz w:val="22"/>
                <w:szCs w:val="22"/>
              </w:rPr>
            </w:pPr>
            <w:r w:rsidRPr="00DE77A8">
              <w:rPr>
                <w:i/>
                <w:color w:val="000000" w:themeColor="text1"/>
                <w:sz w:val="22"/>
                <w:szCs w:val="22"/>
              </w:rPr>
              <w:t>Qualit</w:t>
            </w:r>
            <w:r>
              <w:rPr>
                <w:i/>
                <w:color w:val="000000" w:themeColor="text1"/>
                <w:sz w:val="22"/>
                <w:szCs w:val="22"/>
              </w:rPr>
              <w:t>y first teaching for all pupils</w:t>
            </w:r>
          </w:p>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83BEC" w14:textId="585399C1" w:rsidR="005D496A" w:rsidRDefault="00DE77A8" w:rsidP="005D496A">
            <w:pPr>
              <w:pBdr>
                <w:top w:val="nil"/>
                <w:left w:val="nil"/>
                <w:bottom w:val="nil"/>
                <w:right w:val="nil"/>
                <w:between w:val="nil"/>
              </w:pBdr>
              <w:spacing w:before="60" w:after="60" w:line="240" w:lineRule="auto"/>
              <w:ind w:left="57" w:right="57"/>
              <w:rPr>
                <w:color w:val="000000" w:themeColor="text1"/>
              </w:rPr>
            </w:pPr>
            <w:r>
              <w:rPr>
                <w:color w:val="000000" w:themeColor="text1"/>
                <w:sz w:val="22"/>
                <w:szCs w:val="22"/>
              </w:rPr>
              <w:t xml:space="preserve">+ </w:t>
            </w:r>
            <w:r w:rsidRPr="00DE77A8">
              <w:rPr>
                <w:color w:val="000000" w:themeColor="text1"/>
                <w:sz w:val="22"/>
                <w:szCs w:val="22"/>
              </w:rPr>
              <w:t>EEF guide to pupil premium – tiered approach – teaching is</w:t>
            </w:r>
            <w:r w:rsidR="00C000AC">
              <w:rPr>
                <w:color w:val="000000" w:themeColor="text1"/>
                <w:sz w:val="22"/>
                <w:szCs w:val="22"/>
              </w:rPr>
              <w:t xml:space="preserve"> the top priority:</w:t>
            </w:r>
            <w:r w:rsidR="005D496A">
              <w:rPr>
                <w:color w:val="000000" w:themeColor="text1"/>
              </w:rPr>
              <w:t xml:space="preserve"> </w:t>
            </w:r>
          </w:p>
          <w:p w14:paraId="0D8A7632" w14:textId="74CC3989" w:rsidR="005D496A" w:rsidRDefault="005D496A" w:rsidP="005D496A">
            <w:pPr>
              <w:pBdr>
                <w:top w:val="nil"/>
                <w:left w:val="nil"/>
                <w:bottom w:val="nil"/>
                <w:right w:val="nil"/>
                <w:between w:val="nil"/>
              </w:pBdr>
              <w:spacing w:before="60" w:after="60" w:line="240" w:lineRule="auto"/>
              <w:ind w:left="57" w:right="57"/>
              <w:rPr>
                <w:sz w:val="22"/>
                <w:szCs w:val="22"/>
              </w:rPr>
            </w:pPr>
            <w:r>
              <w:rPr>
                <w:sz w:val="22"/>
                <w:szCs w:val="22"/>
              </w:rPr>
              <w:t>The EEF Guide to the Pupil Premium - Autumn 2021</w:t>
            </w:r>
          </w:p>
          <w:p w14:paraId="13E50CCC" w14:textId="77777777" w:rsidR="005D496A" w:rsidRDefault="00015622" w:rsidP="005D496A">
            <w:pPr>
              <w:pBdr>
                <w:top w:val="nil"/>
                <w:left w:val="nil"/>
                <w:bottom w:val="nil"/>
                <w:right w:val="nil"/>
                <w:between w:val="nil"/>
              </w:pBdr>
              <w:spacing w:before="60" w:after="60" w:line="240" w:lineRule="auto"/>
              <w:ind w:left="57" w:right="57"/>
              <w:rPr>
                <w:color w:val="104F75"/>
                <w:sz w:val="22"/>
                <w:szCs w:val="22"/>
              </w:rPr>
            </w:pPr>
            <w:hyperlink r:id="rId10">
              <w:r w:rsidR="005D496A">
                <w:rPr>
                  <w:color w:val="1155CC"/>
                  <w:sz w:val="22"/>
                  <w:szCs w:val="22"/>
                  <w:u w:val="single"/>
                </w:rPr>
                <w:t>https://d2tic4wvo1iusb.cloudfront.net/documents/guidance-for-teachers/pupil-premium/EEF-Guide-to-the-Pupil-Premium-Autumn-2021.pdf</w:t>
              </w:r>
            </w:hyperlink>
          </w:p>
          <w:p w14:paraId="5E664EC8" w14:textId="02FA40BC" w:rsidR="00DE77A8" w:rsidRDefault="00DE77A8" w:rsidP="00DE77A8">
            <w:pPr>
              <w:pStyle w:val="TableRow"/>
              <w:textAlignment w:val="baseline"/>
              <w:rPr>
                <w:color w:val="000000" w:themeColor="text1"/>
              </w:rPr>
            </w:pPr>
          </w:p>
          <w:p w14:paraId="2BEFB4AC" w14:textId="78D8A59E" w:rsidR="00E66558" w:rsidRDefault="00DE77A8" w:rsidP="00DE77A8">
            <w:pPr>
              <w:pStyle w:val="TableRow"/>
              <w:textAlignment w:val="baseline"/>
              <w:rPr>
                <w:color w:val="000000" w:themeColor="text1"/>
                <w:sz w:val="22"/>
                <w:szCs w:val="22"/>
              </w:rPr>
            </w:pPr>
            <w:r w:rsidRPr="00DE77A8">
              <w:rPr>
                <w:color w:val="000000" w:themeColor="text1"/>
                <w:sz w:val="22"/>
                <w:szCs w:val="22"/>
              </w:rPr>
              <w:t>+ Training and supporting hi</w:t>
            </w:r>
            <w:r w:rsidR="00115C47">
              <w:rPr>
                <w:color w:val="000000" w:themeColor="text1"/>
                <w:sz w:val="22"/>
                <w:szCs w:val="22"/>
              </w:rPr>
              <w:t>ghly qualified teachers to deliver targeted support</w:t>
            </w:r>
            <w:r w:rsidR="00C000AC">
              <w:rPr>
                <w:color w:val="000000" w:themeColor="text1"/>
                <w:sz w:val="22"/>
                <w:szCs w:val="22"/>
              </w:rPr>
              <w:t>,</w:t>
            </w:r>
            <w:r w:rsidR="00115C47">
              <w:rPr>
                <w:color w:val="000000" w:themeColor="text1"/>
                <w:sz w:val="22"/>
                <w:szCs w:val="22"/>
              </w:rPr>
              <w:t xml:space="preserve"> </w:t>
            </w:r>
            <w:r w:rsidR="00C000AC">
              <w:rPr>
                <w:color w:val="000000" w:themeColor="text1"/>
                <w:sz w:val="22"/>
                <w:szCs w:val="22"/>
              </w:rPr>
              <w:t xml:space="preserve">including giving specific feedback, </w:t>
            </w:r>
            <w:r w:rsidR="00115C47">
              <w:rPr>
                <w:color w:val="000000" w:themeColor="text1"/>
                <w:sz w:val="22"/>
                <w:szCs w:val="22"/>
              </w:rPr>
              <w:t>where needed.</w:t>
            </w:r>
          </w:p>
          <w:p w14:paraId="0BF3796B" w14:textId="77777777" w:rsidR="005D496A" w:rsidRDefault="005D496A" w:rsidP="005D496A">
            <w:pPr>
              <w:pBdr>
                <w:top w:val="nil"/>
                <w:left w:val="nil"/>
                <w:bottom w:val="nil"/>
                <w:right w:val="nil"/>
                <w:between w:val="nil"/>
              </w:pBdr>
              <w:spacing w:before="60" w:after="60" w:line="240" w:lineRule="auto"/>
              <w:ind w:left="57" w:right="57"/>
              <w:rPr>
                <w:sz w:val="22"/>
                <w:szCs w:val="22"/>
              </w:rPr>
            </w:pPr>
            <w:r>
              <w:rPr>
                <w:sz w:val="22"/>
                <w:szCs w:val="22"/>
              </w:rPr>
              <w:t>Feedback;</w:t>
            </w:r>
          </w:p>
          <w:p w14:paraId="2A7D551F" w14:textId="3F81FD12" w:rsidR="005D496A" w:rsidRPr="007C01A0" w:rsidRDefault="00015622" w:rsidP="007C01A0">
            <w:pPr>
              <w:pBdr>
                <w:top w:val="nil"/>
                <w:left w:val="nil"/>
                <w:bottom w:val="nil"/>
                <w:right w:val="nil"/>
                <w:between w:val="nil"/>
              </w:pBdr>
              <w:spacing w:before="60" w:after="60" w:line="240" w:lineRule="auto"/>
              <w:ind w:left="57" w:right="57"/>
              <w:rPr>
                <w:sz w:val="22"/>
                <w:szCs w:val="22"/>
              </w:rPr>
            </w:pPr>
            <w:hyperlink r:id="rId11">
              <w:r w:rsidR="005D496A">
                <w:rPr>
                  <w:color w:val="1155CC"/>
                  <w:sz w:val="22"/>
                  <w:szCs w:val="22"/>
                  <w:u w:val="single"/>
                </w:rPr>
                <w:t>https://educationendowmentfoundation.org.uk/education-evidence/teaching-learning-toolkit/feedback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0239" w14:textId="77777777" w:rsidR="00E66558" w:rsidRDefault="00DE77A8">
            <w:pPr>
              <w:pStyle w:val="TableRowCentered"/>
              <w:jc w:val="left"/>
              <w:rPr>
                <w:sz w:val="22"/>
              </w:rPr>
            </w:pPr>
            <w:r>
              <w:rPr>
                <w:sz w:val="22"/>
              </w:rPr>
              <w:t>1</w:t>
            </w:r>
          </w:p>
          <w:p w14:paraId="2A7D5520" w14:textId="6AF0ECE1" w:rsidR="00DE77A8" w:rsidRDefault="00DE77A8">
            <w:pPr>
              <w:pStyle w:val="TableRowCentered"/>
              <w:jc w:val="left"/>
              <w:rPr>
                <w:sz w:val="22"/>
              </w:rPr>
            </w:pPr>
            <w:r>
              <w:rPr>
                <w:sz w:val="22"/>
              </w:rPr>
              <w:t>2</w:t>
            </w:r>
          </w:p>
        </w:tc>
      </w:tr>
    </w:tbl>
    <w:p w14:paraId="2A7D5522" w14:textId="77777777" w:rsidR="00E66558" w:rsidRDefault="00E66558">
      <w:pPr>
        <w:keepNext/>
        <w:spacing w:after="60"/>
        <w:outlineLvl w:val="1"/>
      </w:pPr>
    </w:p>
    <w:p w14:paraId="2A7D5523" w14:textId="0B7FF86D" w:rsidR="00E66558" w:rsidRDefault="00204669">
      <w:pPr>
        <w:rPr>
          <w:b/>
          <w:bCs/>
          <w:color w:val="104F75"/>
          <w:sz w:val="28"/>
          <w:szCs w:val="28"/>
        </w:rPr>
      </w:pPr>
      <w:r>
        <w:rPr>
          <w:b/>
          <w:bCs/>
          <w:color w:val="104F75"/>
          <w:sz w:val="28"/>
          <w:szCs w:val="28"/>
        </w:rPr>
        <w:t>T</w:t>
      </w:r>
      <w:r w:rsidR="009D71E8">
        <w:rPr>
          <w:b/>
          <w:bCs/>
          <w:color w:val="104F75"/>
          <w:sz w:val="28"/>
          <w:szCs w:val="28"/>
        </w:rPr>
        <w:t xml:space="preserve">argeted academic support (for example, </w:t>
      </w:r>
      <w:r w:rsidR="00D33FE5">
        <w:rPr>
          <w:b/>
          <w:bCs/>
          <w:color w:val="104F75"/>
          <w:sz w:val="28"/>
          <w:szCs w:val="28"/>
        </w:rPr>
        <w:t xml:space="preserve">tutoring, one-to-one support </w:t>
      </w:r>
      <w:r w:rsidR="009D71E8">
        <w:rPr>
          <w:b/>
          <w:bCs/>
          <w:color w:val="104F75"/>
          <w:sz w:val="28"/>
          <w:szCs w:val="28"/>
        </w:rPr>
        <w:t xml:space="preserve">structured interventions) </w:t>
      </w:r>
    </w:p>
    <w:p w14:paraId="2A7D5524" w14:textId="2575A6E4" w:rsidR="00E66558" w:rsidRDefault="00204669">
      <w:r>
        <w:t>Budgeted cost: £25</w:t>
      </w:r>
      <w:r w:rsidR="00F66276">
        <w:t>,000</w:t>
      </w:r>
    </w:p>
    <w:tbl>
      <w:tblPr>
        <w:tblW w:w="5000" w:type="pct"/>
        <w:tblCellMar>
          <w:left w:w="10" w:type="dxa"/>
          <w:right w:w="10" w:type="dxa"/>
        </w:tblCellMar>
        <w:tblLook w:val="04A0" w:firstRow="1" w:lastRow="0" w:firstColumn="1" w:lastColumn="0" w:noHBand="0" w:noVBand="1"/>
      </w:tblPr>
      <w:tblGrid>
        <w:gridCol w:w="1847"/>
        <w:gridCol w:w="5871"/>
        <w:gridCol w:w="1768"/>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69BDE" w14:textId="24116DAA" w:rsidR="00266820" w:rsidRDefault="00266820" w:rsidP="00266820">
            <w:pPr>
              <w:pStyle w:val="TableRow"/>
              <w:rPr>
                <w:i/>
                <w:sz w:val="22"/>
              </w:rPr>
            </w:pPr>
            <w:r>
              <w:rPr>
                <w:i/>
                <w:sz w:val="22"/>
              </w:rPr>
              <w:t>Reading, Writing and Maths interventions</w:t>
            </w:r>
          </w:p>
          <w:p w14:paraId="2A7D5529" w14:textId="215C4CE1" w:rsidR="00E66558" w:rsidRPr="00266820"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D4B1D" w14:textId="7117662C" w:rsidR="00E66558" w:rsidRDefault="00CA465E" w:rsidP="00266820">
            <w:pPr>
              <w:pStyle w:val="TableRowCentered"/>
              <w:jc w:val="left"/>
              <w:rPr>
                <w:sz w:val="22"/>
                <w:szCs w:val="22"/>
              </w:rPr>
            </w:pPr>
            <w:r>
              <w:rPr>
                <w:sz w:val="22"/>
                <w:szCs w:val="22"/>
              </w:rPr>
              <w:t xml:space="preserve">+ </w:t>
            </w:r>
            <w:r w:rsidR="00266820">
              <w:rPr>
                <w:sz w:val="22"/>
                <w:szCs w:val="22"/>
              </w:rPr>
              <w:t>Establish small group interventions for disadvantaged pupils a) falling behind age-related expectations</w:t>
            </w:r>
          </w:p>
          <w:p w14:paraId="4D718333" w14:textId="77777777" w:rsidR="00CA465E" w:rsidRDefault="00266820" w:rsidP="00266820">
            <w:pPr>
              <w:pStyle w:val="TableRowCentered"/>
              <w:jc w:val="left"/>
              <w:rPr>
                <w:sz w:val="22"/>
                <w:szCs w:val="22"/>
              </w:rPr>
            </w:pPr>
            <w:r>
              <w:rPr>
                <w:sz w:val="22"/>
                <w:szCs w:val="22"/>
              </w:rPr>
              <w:t>b) not maintaining greater depth</w:t>
            </w:r>
            <w:r w:rsidR="00CA465E">
              <w:rPr>
                <w:sz w:val="22"/>
                <w:szCs w:val="22"/>
              </w:rPr>
              <w:t xml:space="preserve"> </w:t>
            </w:r>
          </w:p>
          <w:p w14:paraId="4818C21B" w14:textId="1301F71B" w:rsidR="00266820" w:rsidRDefault="00CA465E" w:rsidP="00266820">
            <w:pPr>
              <w:pStyle w:val="TableRowCentered"/>
              <w:jc w:val="left"/>
              <w:rPr>
                <w:sz w:val="22"/>
                <w:szCs w:val="22"/>
              </w:rPr>
            </w:pPr>
            <w:r>
              <w:rPr>
                <w:sz w:val="22"/>
                <w:szCs w:val="22"/>
              </w:rPr>
              <w:t xml:space="preserve">in order to provide </w:t>
            </w:r>
            <w:r>
              <w:rPr>
                <w:sz w:val="22"/>
              </w:rPr>
              <w:t>quality personalised support for the children</w:t>
            </w:r>
          </w:p>
          <w:p w14:paraId="05DE35A1" w14:textId="77777777" w:rsidR="00CA465E" w:rsidRDefault="00CA465E" w:rsidP="00CA465E">
            <w:pPr>
              <w:pStyle w:val="TableRowCentered"/>
              <w:jc w:val="left"/>
              <w:rPr>
                <w:sz w:val="22"/>
              </w:rPr>
            </w:pPr>
            <w:r>
              <w:rPr>
                <w:sz w:val="22"/>
              </w:rPr>
              <w:t>+ Higher attainment in reading indicates better life chances</w:t>
            </w:r>
          </w:p>
          <w:p w14:paraId="453B8772" w14:textId="77777777" w:rsidR="00C000AC" w:rsidRDefault="00C000AC" w:rsidP="00C000AC">
            <w:pPr>
              <w:spacing w:before="60" w:after="60" w:line="240" w:lineRule="auto"/>
              <w:ind w:left="57" w:right="57"/>
              <w:rPr>
                <w:sz w:val="22"/>
                <w:szCs w:val="22"/>
              </w:rPr>
            </w:pPr>
            <w:r>
              <w:rPr>
                <w:sz w:val="22"/>
                <w:szCs w:val="22"/>
              </w:rPr>
              <w:t>EEF Teaching and Learning Toolkit</w:t>
            </w:r>
          </w:p>
          <w:p w14:paraId="17C7FC94" w14:textId="44466E4A" w:rsidR="00C000AC" w:rsidRDefault="00015622" w:rsidP="00C000AC">
            <w:pPr>
              <w:spacing w:before="60" w:after="60" w:line="240" w:lineRule="auto"/>
              <w:ind w:left="57" w:right="57"/>
              <w:rPr>
                <w:color w:val="1155CC"/>
                <w:sz w:val="22"/>
                <w:szCs w:val="22"/>
                <w:u w:val="single"/>
              </w:rPr>
            </w:pPr>
            <w:hyperlink r:id="rId12">
              <w:r w:rsidR="00C000AC">
                <w:rPr>
                  <w:color w:val="1155CC"/>
                  <w:sz w:val="22"/>
                  <w:szCs w:val="22"/>
                  <w:u w:val="single"/>
                </w:rPr>
                <w:t>https://educationendowmentfoundation.org.uk/education-evidence/teaching-learning-toolkit/teaching-assistant-interventions</w:t>
              </w:r>
            </w:hyperlink>
          </w:p>
          <w:p w14:paraId="4AE96876" w14:textId="77777777" w:rsidR="00591F61" w:rsidRDefault="00591F61" w:rsidP="00591F61">
            <w:pPr>
              <w:pBdr>
                <w:top w:val="nil"/>
                <w:left w:val="nil"/>
                <w:bottom w:val="nil"/>
                <w:right w:val="nil"/>
                <w:between w:val="nil"/>
              </w:pBdr>
              <w:spacing w:before="60" w:after="60" w:line="240" w:lineRule="auto"/>
              <w:ind w:left="57" w:right="57"/>
              <w:rPr>
                <w:sz w:val="22"/>
                <w:szCs w:val="22"/>
              </w:rPr>
            </w:pPr>
            <w:r>
              <w:rPr>
                <w:sz w:val="22"/>
                <w:szCs w:val="22"/>
              </w:rPr>
              <w:t>EEF Toolkit</w:t>
            </w:r>
          </w:p>
          <w:p w14:paraId="2A7D552A" w14:textId="3994F797" w:rsidR="00C000AC" w:rsidRPr="00591F61" w:rsidRDefault="00015622" w:rsidP="00591F61">
            <w:pPr>
              <w:spacing w:before="60" w:after="60" w:line="240" w:lineRule="auto"/>
              <w:ind w:left="57" w:right="57"/>
              <w:rPr>
                <w:sz w:val="22"/>
                <w:szCs w:val="22"/>
              </w:rPr>
            </w:pPr>
            <w:hyperlink r:id="rId13">
              <w:r w:rsidR="00591F61">
                <w:rPr>
                  <w:color w:val="1155CC"/>
                  <w:sz w:val="22"/>
                  <w:szCs w:val="22"/>
                  <w:u w:val="single"/>
                </w:rPr>
                <w:t>https://educationendowmentfoundation.org.uk/education-evidence/teaching-learning-toolkit/small-group-tuition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0BFE" w14:textId="77777777" w:rsidR="00E66558" w:rsidRDefault="00266820">
            <w:pPr>
              <w:pStyle w:val="TableRowCentered"/>
              <w:jc w:val="left"/>
              <w:rPr>
                <w:sz w:val="22"/>
              </w:rPr>
            </w:pPr>
            <w:r>
              <w:rPr>
                <w:sz w:val="22"/>
              </w:rPr>
              <w:t>1</w:t>
            </w:r>
          </w:p>
          <w:p w14:paraId="2A7D552B" w14:textId="3B6C65CE" w:rsidR="00266820" w:rsidRDefault="00266820">
            <w:pPr>
              <w:pStyle w:val="TableRowCentered"/>
              <w:jc w:val="left"/>
              <w:rPr>
                <w:sz w:val="22"/>
              </w:rPr>
            </w:pPr>
            <w:r>
              <w:rPr>
                <w:sz w:val="22"/>
              </w:rPr>
              <w:t>2</w:t>
            </w:r>
          </w:p>
        </w:tc>
      </w:tr>
      <w:tr w:rsidR="009633C4" w14:paraId="54F2D00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B4DE" w14:textId="21124003" w:rsidR="009633C4" w:rsidRDefault="009633C4" w:rsidP="00266820">
            <w:pPr>
              <w:pStyle w:val="TableRow"/>
              <w:rPr>
                <w:i/>
                <w:sz w:val="22"/>
              </w:rPr>
            </w:pPr>
            <w:r>
              <w:rPr>
                <w:i/>
                <w:sz w:val="22"/>
              </w:rPr>
              <w:lastRenderedPageBreak/>
              <w:t>1:1 pupil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5BFB9" w14:textId="77777777" w:rsidR="009633C4" w:rsidRDefault="009633C4" w:rsidP="009633C4">
            <w:pPr>
              <w:pStyle w:val="TableRowCentered"/>
              <w:ind w:left="0"/>
              <w:jc w:val="left"/>
              <w:rPr>
                <w:sz w:val="22"/>
                <w:szCs w:val="22"/>
              </w:rPr>
            </w:pPr>
            <w:r>
              <w:rPr>
                <w:sz w:val="22"/>
                <w:szCs w:val="22"/>
              </w:rPr>
              <w:t>Teachers to provide high quality 1-1 sessions which build on the child’s previous experiences and develops their areas of need in after school sessions. This will include those working at Greater Depth as well as those working below age related expectations.</w:t>
            </w:r>
          </w:p>
          <w:p w14:paraId="4F1E9CA2" w14:textId="77777777" w:rsidR="00591F61" w:rsidRPr="00591F61" w:rsidRDefault="00591F61" w:rsidP="00591F61">
            <w:pPr>
              <w:pBdr>
                <w:top w:val="nil"/>
                <w:left w:val="nil"/>
                <w:bottom w:val="nil"/>
                <w:right w:val="nil"/>
                <w:between w:val="nil"/>
              </w:pBdr>
              <w:spacing w:before="60" w:after="60" w:line="240" w:lineRule="auto"/>
              <w:ind w:left="57" w:right="57"/>
              <w:rPr>
                <w:rFonts w:cs="Arial"/>
                <w:sz w:val="22"/>
                <w:szCs w:val="22"/>
              </w:rPr>
            </w:pPr>
            <w:r w:rsidRPr="00591F61">
              <w:rPr>
                <w:rFonts w:cs="Arial"/>
                <w:sz w:val="22"/>
                <w:szCs w:val="22"/>
              </w:rPr>
              <w:t>One to One tuition:</w:t>
            </w:r>
          </w:p>
          <w:p w14:paraId="771D5EE5" w14:textId="49F0DDED" w:rsidR="00591F61" w:rsidRPr="00591F61" w:rsidRDefault="00015622" w:rsidP="00591F61">
            <w:pPr>
              <w:pBdr>
                <w:top w:val="nil"/>
                <w:left w:val="nil"/>
                <w:bottom w:val="nil"/>
                <w:right w:val="nil"/>
                <w:between w:val="nil"/>
              </w:pBdr>
              <w:spacing w:before="60" w:after="60" w:line="240" w:lineRule="auto"/>
              <w:ind w:left="57" w:right="57"/>
              <w:rPr>
                <w:rFonts w:cs="Arial"/>
                <w:sz w:val="22"/>
                <w:szCs w:val="22"/>
              </w:rPr>
            </w:pPr>
            <w:hyperlink r:id="rId14">
              <w:r w:rsidR="00591F61" w:rsidRPr="00591F61">
                <w:rPr>
                  <w:rFonts w:cs="Arial"/>
                  <w:color w:val="1155CC"/>
                  <w:sz w:val="22"/>
                  <w:szCs w:val="22"/>
                  <w:u w:val="single"/>
                </w:rPr>
                <w:t>https://educationendowmentfoundation.org.uk/education-evidence/teaching-learning-toolkit/one-to-one-tuition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53EED" w14:textId="77777777" w:rsidR="009633C4" w:rsidRDefault="009633C4">
            <w:pPr>
              <w:pStyle w:val="TableRowCentered"/>
              <w:jc w:val="left"/>
              <w:rPr>
                <w:sz w:val="22"/>
              </w:rPr>
            </w:pPr>
            <w:r>
              <w:rPr>
                <w:sz w:val="22"/>
              </w:rPr>
              <w:t>1</w:t>
            </w:r>
          </w:p>
          <w:p w14:paraId="3CCE6483" w14:textId="04EB4AB4" w:rsidR="009633C4" w:rsidRDefault="009633C4">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4CA1FAA" w:rsidR="00E66558" w:rsidRPr="006A3A0C" w:rsidRDefault="006A3A0C">
            <w:pPr>
              <w:pStyle w:val="TableRow"/>
              <w:rPr>
                <w:i/>
                <w:sz w:val="22"/>
              </w:rPr>
            </w:pPr>
            <w:r w:rsidRPr="006A3A0C">
              <w:rPr>
                <w:i/>
                <w:sz w:val="22"/>
              </w:rPr>
              <w:t>1:1 pupil conferencing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5D9D1E2" w:rsidR="00E66558" w:rsidRDefault="006A3A0C">
            <w:pPr>
              <w:pStyle w:val="TableRowCentered"/>
              <w:jc w:val="left"/>
              <w:rPr>
                <w:sz w:val="22"/>
              </w:rPr>
            </w:pPr>
            <w:r>
              <w:rPr>
                <w:sz w:val="22"/>
              </w:rPr>
              <w:t>Teacher</w:t>
            </w:r>
            <w:r w:rsidR="00CA465E">
              <w:rPr>
                <w:sz w:val="22"/>
              </w:rPr>
              <w:t>s</w:t>
            </w:r>
            <w:r>
              <w:rPr>
                <w:sz w:val="22"/>
              </w:rPr>
              <w:t xml:space="preserve"> released </w:t>
            </w:r>
            <w:r w:rsidR="009633C4">
              <w:rPr>
                <w:sz w:val="22"/>
              </w:rPr>
              <w:t xml:space="preserve">during the school day </w:t>
            </w:r>
            <w:r>
              <w:rPr>
                <w:sz w:val="22"/>
              </w:rPr>
              <w:t>to spend quality 1 -1 time with PP pupils focusing on their areas for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D8BD5" w14:textId="77777777" w:rsidR="00E66558" w:rsidRDefault="00CA465E">
            <w:pPr>
              <w:pStyle w:val="TableRowCentered"/>
              <w:jc w:val="left"/>
              <w:rPr>
                <w:sz w:val="22"/>
              </w:rPr>
            </w:pPr>
            <w:r>
              <w:rPr>
                <w:sz w:val="22"/>
              </w:rPr>
              <w:t>1</w:t>
            </w:r>
          </w:p>
          <w:p w14:paraId="2A7D552F" w14:textId="1FD52802" w:rsidR="00CA465E" w:rsidRDefault="00CA465E">
            <w:pPr>
              <w:pStyle w:val="TableRowCentered"/>
              <w:jc w:val="left"/>
              <w:rPr>
                <w:sz w:val="22"/>
              </w:rPr>
            </w:pPr>
            <w:r>
              <w:rPr>
                <w:sz w:val="22"/>
              </w:rPr>
              <w:t>2</w:t>
            </w:r>
          </w:p>
        </w:tc>
      </w:tr>
      <w:tr w:rsidR="00CA465E" w14:paraId="006301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87BE" w14:textId="2C5B2E57" w:rsidR="00CA465E" w:rsidRPr="006A3A0C" w:rsidRDefault="00CA465E">
            <w:pPr>
              <w:pStyle w:val="TableRow"/>
              <w:rPr>
                <w:i/>
                <w:sz w:val="22"/>
              </w:rPr>
            </w:pPr>
            <w:r w:rsidRPr="00AC5776">
              <w:rPr>
                <w:i/>
                <w:sz w:val="22"/>
                <w:szCs w:val="22"/>
              </w:rPr>
              <w:t>1:1 pupil progress meetings with teachers and AHT/ DH/ HT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3878" w14:textId="5A0396EB" w:rsidR="00CA465E" w:rsidRDefault="00115C47">
            <w:pPr>
              <w:pStyle w:val="TableRowCentered"/>
              <w:jc w:val="left"/>
              <w:rPr>
                <w:sz w:val="22"/>
              </w:rPr>
            </w:pPr>
            <w:r w:rsidRPr="00115C47">
              <w:rPr>
                <w:color w:val="000000" w:themeColor="text1"/>
                <w:sz w:val="22"/>
                <w:szCs w:val="22"/>
              </w:rPr>
              <w:t>Pupil Progress meetings track progress of PP pupils and appropriate, timely interventions are put in place</w:t>
            </w:r>
            <w:r w:rsidRPr="00130F00">
              <w:rPr>
                <w:color w:val="000000" w:themeColor="text1"/>
              </w:rPr>
              <w:t>.</w:t>
            </w:r>
            <w:r>
              <w:rPr>
                <w:sz w:val="22"/>
                <w:szCs w:val="22"/>
              </w:rPr>
              <w:t xml:space="preserve"> </w:t>
            </w:r>
            <w:r w:rsidR="00CA465E">
              <w:rPr>
                <w:sz w:val="22"/>
              </w:rPr>
              <w:t>There is a collective</w:t>
            </w:r>
            <w:r w:rsidR="00CA465E" w:rsidRPr="00B31A22">
              <w:rPr>
                <w:sz w:val="22"/>
              </w:rPr>
              <w:t xml:space="preserve"> responsibility for PP children’s progre</w:t>
            </w:r>
            <w:r>
              <w:rPr>
                <w:sz w:val="22"/>
              </w:rPr>
              <w:t>ss</w:t>
            </w:r>
            <w:r w:rsidR="00CA465E" w:rsidRPr="00B31A22">
              <w:rPr>
                <w:sz w:val="22"/>
              </w:rPr>
              <w:t>. Staff will know who they are, their barriers to learning and any strategies needed to meet their educational and emotional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6E8ED" w14:textId="77777777" w:rsidR="00CA465E" w:rsidRDefault="00CA465E">
            <w:pPr>
              <w:pStyle w:val="TableRowCentered"/>
              <w:jc w:val="left"/>
              <w:rPr>
                <w:sz w:val="22"/>
              </w:rPr>
            </w:pPr>
            <w:r>
              <w:rPr>
                <w:sz w:val="22"/>
              </w:rPr>
              <w:t>1</w:t>
            </w:r>
          </w:p>
          <w:p w14:paraId="5A1168CE" w14:textId="77777777" w:rsidR="00CA465E" w:rsidRDefault="00CA465E">
            <w:pPr>
              <w:pStyle w:val="TableRowCentered"/>
              <w:jc w:val="left"/>
              <w:rPr>
                <w:sz w:val="22"/>
              </w:rPr>
            </w:pPr>
            <w:r>
              <w:rPr>
                <w:sz w:val="22"/>
              </w:rPr>
              <w:t>2</w:t>
            </w:r>
          </w:p>
          <w:p w14:paraId="2ED71DBD" w14:textId="77777777" w:rsidR="00CA465E" w:rsidRDefault="00CA465E">
            <w:pPr>
              <w:pStyle w:val="TableRowCentered"/>
              <w:jc w:val="left"/>
              <w:rPr>
                <w:sz w:val="22"/>
              </w:rPr>
            </w:pPr>
            <w:r>
              <w:rPr>
                <w:sz w:val="22"/>
              </w:rPr>
              <w:t>3</w:t>
            </w:r>
          </w:p>
          <w:p w14:paraId="3ED1597E" w14:textId="4FCCBAE4" w:rsidR="00CA465E" w:rsidRDefault="00CA465E">
            <w:pPr>
              <w:pStyle w:val="TableRowCentered"/>
              <w:jc w:val="left"/>
              <w:rPr>
                <w:sz w:val="22"/>
              </w:rPr>
            </w:pPr>
            <w:r>
              <w:rPr>
                <w:sz w:val="22"/>
              </w:rPr>
              <w:t>4</w:t>
            </w:r>
          </w:p>
        </w:tc>
      </w:tr>
      <w:tr w:rsidR="0014345B" w14:paraId="3BBCB4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7D953" w14:textId="606442C8" w:rsidR="0014345B" w:rsidRPr="0014345B" w:rsidRDefault="0014345B" w:rsidP="0014345B">
            <w:pPr>
              <w:pStyle w:val="TableRow"/>
              <w:textAlignment w:val="baseline"/>
              <w:rPr>
                <w:i/>
                <w:color w:val="000000" w:themeColor="text1"/>
                <w:sz w:val="22"/>
                <w:szCs w:val="22"/>
              </w:rPr>
            </w:pPr>
            <w:r w:rsidRPr="0014345B">
              <w:rPr>
                <w:i/>
                <w:color w:val="000000" w:themeColor="text1"/>
                <w:sz w:val="22"/>
                <w:szCs w:val="22"/>
              </w:rPr>
              <w:t>Purchase web based progra</w:t>
            </w:r>
            <w:r w:rsidR="00591F61">
              <w:rPr>
                <w:i/>
                <w:color w:val="000000" w:themeColor="text1"/>
                <w:sz w:val="22"/>
                <w:szCs w:val="22"/>
              </w:rPr>
              <w:t>ms to be used in school at home:</w:t>
            </w:r>
          </w:p>
          <w:p w14:paraId="18DC72E2" w14:textId="70EBB08C" w:rsidR="0014345B" w:rsidRPr="0014345B" w:rsidRDefault="0014345B" w:rsidP="00591F61">
            <w:pPr>
              <w:pStyle w:val="TableRow"/>
              <w:textAlignment w:val="baseline"/>
              <w:rPr>
                <w:i/>
                <w:color w:val="000000" w:themeColor="text1"/>
                <w:sz w:val="22"/>
                <w:szCs w:val="22"/>
              </w:rPr>
            </w:pPr>
            <w:r>
              <w:rPr>
                <w:i/>
                <w:color w:val="000000" w:themeColor="text1"/>
                <w:sz w:val="22"/>
                <w:szCs w:val="22"/>
              </w:rPr>
              <w:t>Reading Eggs</w:t>
            </w:r>
            <w:r w:rsidR="00591F61">
              <w:rPr>
                <w:i/>
                <w:color w:val="000000" w:themeColor="text1"/>
                <w:sz w:val="22"/>
                <w:szCs w:val="22"/>
              </w:rPr>
              <w:t>,</w:t>
            </w:r>
          </w:p>
          <w:p w14:paraId="5C30149A" w14:textId="0AA061BC" w:rsidR="0014345B" w:rsidRPr="0014345B" w:rsidRDefault="0014345B" w:rsidP="00591F61">
            <w:pPr>
              <w:pStyle w:val="TableRow"/>
              <w:textAlignment w:val="baseline"/>
              <w:rPr>
                <w:i/>
                <w:color w:val="000000" w:themeColor="text1"/>
                <w:sz w:val="22"/>
                <w:szCs w:val="22"/>
              </w:rPr>
            </w:pPr>
            <w:r w:rsidRPr="0014345B">
              <w:rPr>
                <w:i/>
                <w:color w:val="000000" w:themeColor="text1"/>
                <w:sz w:val="22"/>
                <w:szCs w:val="22"/>
              </w:rPr>
              <w:t>Purple Mash</w:t>
            </w:r>
          </w:p>
          <w:p w14:paraId="4FD03E28" w14:textId="77777777" w:rsidR="0014345B" w:rsidRPr="0014345B" w:rsidRDefault="0014345B" w:rsidP="00591F61">
            <w:pPr>
              <w:pStyle w:val="TableRow"/>
              <w:ind w:left="0"/>
              <w:textAlignment w:val="baseline"/>
              <w:rPr>
                <w:color w:val="000000" w:themeColor="text1"/>
              </w:rPr>
            </w:pPr>
            <w:r w:rsidRPr="0014345B">
              <w:rPr>
                <w:i/>
                <w:color w:val="000000" w:themeColor="text1"/>
                <w:sz w:val="22"/>
                <w:szCs w:val="22"/>
              </w:rPr>
              <w:t>Mathletics</w:t>
            </w:r>
          </w:p>
          <w:p w14:paraId="54A48AF2" w14:textId="34B1F982" w:rsidR="0014345B" w:rsidRPr="0014345B" w:rsidRDefault="0014345B" w:rsidP="00591F61">
            <w:pPr>
              <w:pStyle w:val="TableRow"/>
              <w:ind w:left="0"/>
              <w:textAlignment w:val="baseline"/>
              <w:rPr>
                <w:color w:val="000000" w:themeColor="text1"/>
              </w:rPr>
            </w:pPr>
            <w:r>
              <w:rPr>
                <w:i/>
                <w:color w:val="000000" w:themeColor="text1"/>
                <w:sz w:val="22"/>
                <w:szCs w:val="22"/>
              </w:rPr>
              <w:t>TTRS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1590" w14:textId="77777777" w:rsidR="0014345B" w:rsidRDefault="0014345B" w:rsidP="0014345B">
            <w:pPr>
              <w:pStyle w:val="TableRowCentered"/>
              <w:ind w:left="34"/>
              <w:jc w:val="left"/>
              <w:rPr>
                <w:color w:val="000000" w:themeColor="text1"/>
                <w:sz w:val="22"/>
              </w:rPr>
            </w:pPr>
            <w:r>
              <w:rPr>
                <w:color w:val="000000" w:themeColor="text1"/>
                <w:sz w:val="22"/>
              </w:rPr>
              <w:t>EEF toolkit states the importance of parental engagement as well as using digital technology. There is clear evidence that technology approaches are beneficial for reading, writing and maths practice.</w:t>
            </w:r>
          </w:p>
          <w:p w14:paraId="3BBC0C04" w14:textId="77777777" w:rsidR="00591F61" w:rsidRDefault="00591F61" w:rsidP="00591F61">
            <w:pPr>
              <w:pBdr>
                <w:top w:val="nil"/>
                <w:left w:val="nil"/>
                <w:bottom w:val="nil"/>
                <w:right w:val="nil"/>
                <w:between w:val="nil"/>
              </w:pBdr>
              <w:spacing w:before="60" w:after="60" w:line="240" w:lineRule="auto"/>
              <w:ind w:left="57" w:right="57"/>
              <w:rPr>
                <w:sz w:val="22"/>
                <w:szCs w:val="22"/>
              </w:rPr>
            </w:pPr>
            <w:r>
              <w:rPr>
                <w:sz w:val="22"/>
                <w:szCs w:val="22"/>
              </w:rPr>
              <w:t>EEF Toolkit:</w:t>
            </w:r>
          </w:p>
          <w:p w14:paraId="6F28D435" w14:textId="77777777" w:rsidR="00591F61" w:rsidRDefault="00015622" w:rsidP="00591F61">
            <w:pPr>
              <w:pStyle w:val="TableRowCentered"/>
              <w:ind w:left="34"/>
              <w:jc w:val="left"/>
              <w:rPr>
                <w:color w:val="1155CC"/>
                <w:sz w:val="22"/>
                <w:szCs w:val="22"/>
                <w:u w:val="single"/>
              </w:rPr>
            </w:pPr>
            <w:hyperlink r:id="rId15">
              <w:r w:rsidR="00591F61">
                <w:rPr>
                  <w:color w:val="1155CC"/>
                  <w:sz w:val="22"/>
                  <w:szCs w:val="22"/>
                  <w:u w:val="single"/>
                </w:rPr>
                <w:t>https://educationendowmentfoundation.org.uk/education-evidence/teaching-learning-toolkit/parental-engagement</w:t>
              </w:r>
            </w:hyperlink>
          </w:p>
          <w:p w14:paraId="4773454C" w14:textId="0C47663D" w:rsidR="00F46B2A" w:rsidRPr="0014345B" w:rsidRDefault="00015622" w:rsidP="00F46B2A">
            <w:pPr>
              <w:pStyle w:val="TableRowCentered"/>
              <w:ind w:left="34"/>
              <w:jc w:val="left"/>
              <w:rPr>
                <w:color w:val="000000" w:themeColor="text1"/>
                <w:sz w:val="22"/>
              </w:rPr>
            </w:pPr>
            <w:hyperlink r:id="rId16" w:history="1">
              <w:r w:rsidR="00F46B2A" w:rsidRPr="0041686C">
                <w:rPr>
                  <w:rStyle w:val="Hyperlink"/>
                  <w:sz w:val="22"/>
                </w:rPr>
                <w:t>https://educationendowmentfoundation.org.uk/education-evidence/evidence-reviews/digital-technology-2019</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344AF" w14:textId="77777777" w:rsidR="0014345B" w:rsidRDefault="0014345B">
            <w:pPr>
              <w:pStyle w:val="TableRowCentered"/>
              <w:jc w:val="left"/>
              <w:rPr>
                <w:sz w:val="22"/>
              </w:rPr>
            </w:pPr>
            <w:r>
              <w:rPr>
                <w:sz w:val="22"/>
              </w:rPr>
              <w:t>1</w:t>
            </w:r>
          </w:p>
          <w:p w14:paraId="6B8EC0B9" w14:textId="7AE42B21" w:rsidR="0014345B" w:rsidRDefault="0014345B">
            <w:pPr>
              <w:pStyle w:val="TableRowCentered"/>
              <w:jc w:val="left"/>
              <w:rPr>
                <w:sz w:val="22"/>
              </w:rPr>
            </w:pPr>
            <w:r>
              <w:rPr>
                <w:sz w:val="22"/>
              </w:rPr>
              <w:t>2</w:t>
            </w:r>
          </w:p>
          <w:p w14:paraId="1E578FD8" w14:textId="05F51715" w:rsidR="0014345B" w:rsidRDefault="0014345B">
            <w:pPr>
              <w:pStyle w:val="TableRowCentered"/>
              <w:jc w:val="left"/>
              <w:rPr>
                <w:sz w:val="22"/>
              </w:rPr>
            </w:pPr>
            <w:r>
              <w:rPr>
                <w:sz w:val="22"/>
              </w:rPr>
              <w:t>3</w:t>
            </w:r>
          </w:p>
          <w:p w14:paraId="2C365737" w14:textId="5FEB93B7" w:rsidR="0014345B" w:rsidRDefault="0014345B">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A3EB016" w:rsidR="00E66558" w:rsidRDefault="00CA465E">
      <w:pPr>
        <w:spacing w:before="240" w:after="120"/>
      </w:pPr>
      <w:r>
        <w:t>Budgeted cost: £</w:t>
      </w:r>
      <w:r w:rsidR="00F66276">
        <w:t xml:space="preserve"> 35,000</w:t>
      </w:r>
    </w:p>
    <w:tbl>
      <w:tblPr>
        <w:tblW w:w="5000" w:type="pct"/>
        <w:tblCellMar>
          <w:left w:w="10" w:type="dxa"/>
          <w:right w:w="10" w:type="dxa"/>
        </w:tblCellMar>
        <w:tblLook w:val="04A0" w:firstRow="1" w:lastRow="0" w:firstColumn="1" w:lastColumn="0" w:noHBand="0" w:noVBand="1"/>
      </w:tblPr>
      <w:tblGrid>
        <w:gridCol w:w="2003"/>
        <w:gridCol w:w="5871"/>
        <w:gridCol w:w="1612"/>
      </w:tblGrid>
      <w:tr w:rsidR="00E66558" w14:paraId="2A7D5537"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4DB9BAD" w:rsidR="00E66558" w:rsidRPr="00AC5776" w:rsidRDefault="00D27500" w:rsidP="00D27500">
            <w:pPr>
              <w:pStyle w:val="TableRow"/>
              <w:ind w:left="0"/>
              <w:rPr>
                <w:i/>
              </w:rPr>
            </w:pPr>
            <w:r w:rsidRPr="00AC5776">
              <w:rPr>
                <w:i/>
                <w:sz w:val="22"/>
                <w:szCs w:val="22"/>
              </w:rPr>
              <w:t>Engaging with families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B4D9" w14:textId="77777777" w:rsidR="00E66558" w:rsidRDefault="00D27500">
            <w:pPr>
              <w:pStyle w:val="TableRowCentered"/>
              <w:jc w:val="left"/>
              <w:rPr>
                <w:sz w:val="22"/>
              </w:rPr>
            </w:pPr>
            <w:r>
              <w:rPr>
                <w:sz w:val="22"/>
              </w:rPr>
              <w:t>Using Seesaw platform to share communication, targets and achievements.</w:t>
            </w:r>
          </w:p>
          <w:p w14:paraId="77D332A5" w14:textId="77777777" w:rsidR="00591F61" w:rsidRDefault="00591F61" w:rsidP="00591F61">
            <w:pPr>
              <w:pBdr>
                <w:top w:val="nil"/>
                <w:left w:val="nil"/>
                <w:bottom w:val="nil"/>
                <w:right w:val="nil"/>
                <w:between w:val="nil"/>
              </w:pBdr>
              <w:spacing w:before="60" w:after="60" w:line="240" w:lineRule="auto"/>
              <w:ind w:left="57" w:right="57"/>
              <w:rPr>
                <w:sz w:val="22"/>
                <w:szCs w:val="22"/>
              </w:rPr>
            </w:pPr>
            <w:r>
              <w:rPr>
                <w:sz w:val="22"/>
                <w:szCs w:val="22"/>
              </w:rPr>
              <w:t>EEF Toolkit:</w:t>
            </w:r>
          </w:p>
          <w:p w14:paraId="7C4AE783" w14:textId="77777777" w:rsidR="00591F61" w:rsidRDefault="00015622" w:rsidP="00591F61">
            <w:pPr>
              <w:pBdr>
                <w:top w:val="nil"/>
                <w:left w:val="nil"/>
                <w:bottom w:val="nil"/>
                <w:right w:val="nil"/>
                <w:between w:val="nil"/>
              </w:pBdr>
              <w:spacing w:before="60" w:after="60" w:line="240" w:lineRule="auto"/>
              <w:ind w:left="57" w:right="57"/>
              <w:rPr>
                <w:sz w:val="22"/>
                <w:szCs w:val="22"/>
              </w:rPr>
            </w:pPr>
            <w:hyperlink r:id="rId17">
              <w:r w:rsidR="00591F61">
                <w:rPr>
                  <w:color w:val="1155CC"/>
                  <w:sz w:val="22"/>
                  <w:szCs w:val="22"/>
                  <w:u w:val="single"/>
                </w:rPr>
                <w:t>https://educationendowmentfoundation.org.uk/education-evidence/teaching-learning-toolkit/parental-engagement</w:t>
              </w:r>
            </w:hyperlink>
          </w:p>
          <w:p w14:paraId="2A7D5539" w14:textId="326D53D4" w:rsidR="00591F61" w:rsidRDefault="00591F61" w:rsidP="00591F61">
            <w:pPr>
              <w:pStyle w:val="TableRowCentered"/>
              <w:ind w:left="0"/>
              <w:jc w:val="left"/>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57E3" w14:textId="77777777" w:rsidR="00E66558" w:rsidRDefault="00D27500">
            <w:pPr>
              <w:pStyle w:val="TableRowCentered"/>
              <w:jc w:val="left"/>
              <w:rPr>
                <w:sz w:val="22"/>
              </w:rPr>
            </w:pPr>
            <w:r>
              <w:rPr>
                <w:sz w:val="22"/>
              </w:rPr>
              <w:t xml:space="preserve">1 </w:t>
            </w:r>
          </w:p>
          <w:p w14:paraId="2FD33941" w14:textId="77777777" w:rsidR="00D27500" w:rsidRDefault="00D27500">
            <w:pPr>
              <w:pStyle w:val="TableRowCentered"/>
              <w:jc w:val="left"/>
              <w:rPr>
                <w:sz w:val="22"/>
              </w:rPr>
            </w:pPr>
            <w:r>
              <w:rPr>
                <w:sz w:val="22"/>
              </w:rPr>
              <w:t>2</w:t>
            </w:r>
          </w:p>
          <w:p w14:paraId="2A7D553A" w14:textId="71B3F1B9" w:rsidR="00D27500" w:rsidRDefault="00D27500">
            <w:pPr>
              <w:pStyle w:val="TableRowCentered"/>
              <w:jc w:val="left"/>
              <w:rPr>
                <w:sz w:val="22"/>
              </w:rPr>
            </w:pPr>
            <w:r>
              <w:rPr>
                <w:sz w:val="22"/>
              </w:rPr>
              <w:t>4</w:t>
            </w:r>
          </w:p>
        </w:tc>
      </w:tr>
      <w:tr w:rsidR="00CA465E" w14:paraId="2A7D553F"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43AC14B" w:rsidR="00CA465E" w:rsidRPr="00AC5776" w:rsidRDefault="00CA465E" w:rsidP="00CA465E">
            <w:pPr>
              <w:pStyle w:val="TableRow"/>
              <w:rPr>
                <w:i/>
                <w:sz w:val="22"/>
              </w:rPr>
            </w:pPr>
            <w:r w:rsidRPr="00AC5776">
              <w:rPr>
                <w:i/>
                <w:sz w:val="22"/>
              </w:rPr>
              <w:t>E</w:t>
            </w:r>
            <w:r w:rsidR="00D34F0D">
              <w:rPr>
                <w:i/>
                <w:sz w:val="22"/>
              </w:rPr>
              <w:t>xciting trips/</w:t>
            </w:r>
            <w:r w:rsidR="00591F61">
              <w:rPr>
                <w:i/>
                <w:sz w:val="22"/>
              </w:rPr>
              <w:t xml:space="preserve"> visits</w:t>
            </w:r>
            <w:r w:rsidRPr="00AC5776">
              <w:rPr>
                <w:i/>
                <w:sz w:val="22"/>
              </w:rPr>
              <w:t xml:space="preserve"> pl</w:t>
            </w:r>
            <w:r w:rsidR="00591F61">
              <w:rPr>
                <w:i/>
                <w:sz w:val="22"/>
              </w:rPr>
              <w:t>anned to enhance the curriculum and</w:t>
            </w:r>
            <w:r w:rsidR="00AC5776" w:rsidRPr="00AC5776">
              <w:rPr>
                <w:i/>
                <w:sz w:val="22"/>
              </w:rPr>
              <w:t xml:space="preserve"> provide experiences missed due to Covid</w:t>
            </w:r>
            <w:r w:rsidR="00AF242F">
              <w:rPr>
                <w:i/>
                <w:sz w:val="22"/>
              </w:rPr>
              <w:t>/ financial problems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27712" w14:textId="77777777" w:rsidR="00CA465E" w:rsidRDefault="00CA465E" w:rsidP="00AC5776">
            <w:pPr>
              <w:pStyle w:val="TableRowCentered"/>
              <w:jc w:val="left"/>
              <w:rPr>
                <w:sz w:val="22"/>
              </w:rPr>
            </w:pPr>
            <w:r>
              <w:rPr>
                <w:sz w:val="22"/>
              </w:rPr>
              <w:t xml:space="preserve">Children who are exposed to these have an enhanced knowledge and understanding of the world. </w:t>
            </w:r>
          </w:p>
          <w:p w14:paraId="2A7D553D" w14:textId="71293977" w:rsidR="00AF242F" w:rsidRPr="00AF242F" w:rsidRDefault="00AF242F" w:rsidP="00AC5776">
            <w:pPr>
              <w:pStyle w:val="TableRowCentered"/>
              <w:jc w:val="left"/>
              <w:rPr>
                <w:sz w:val="22"/>
                <w:szCs w:val="22"/>
              </w:rPr>
            </w:pPr>
            <w:r w:rsidRPr="00AF242F">
              <w:rPr>
                <w:color w:val="000000" w:themeColor="text1"/>
                <w:sz w:val="22"/>
                <w:szCs w:val="22"/>
              </w:rPr>
              <w:t>Oftsed research (2019) places emphasis on improving cultural capital, particularly for disadvantaged pupils</w:t>
            </w:r>
            <w:r>
              <w:rPr>
                <w:color w:val="000000" w:themeColor="text1"/>
                <w:sz w:val="22"/>
                <w:szCs w:val="22"/>
              </w:rPr>
              <w:t>.</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F2B81D3" w:rsidR="00CA465E" w:rsidRDefault="00AC5776" w:rsidP="00CA465E">
            <w:pPr>
              <w:pStyle w:val="TableRowCentered"/>
              <w:jc w:val="left"/>
              <w:rPr>
                <w:sz w:val="22"/>
              </w:rPr>
            </w:pPr>
            <w:r>
              <w:rPr>
                <w:sz w:val="22"/>
              </w:rPr>
              <w:t>3</w:t>
            </w:r>
          </w:p>
        </w:tc>
      </w:tr>
      <w:tr w:rsidR="00EE1A16" w14:paraId="1521D48A"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C480" w14:textId="01187719" w:rsidR="00EE1A16" w:rsidRPr="00AC5776" w:rsidRDefault="009633C4" w:rsidP="00AC5776">
            <w:pPr>
              <w:pStyle w:val="TableRow"/>
              <w:rPr>
                <w:i/>
                <w:sz w:val="22"/>
              </w:rPr>
            </w:pPr>
            <w:r>
              <w:rPr>
                <w:i/>
                <w:sz w:val="22"/>
              </w:rPr>
              <w:t xml:space="preserve">Breakfast Club/ </w:t>
            </w:r>
            <w:r w:rsidR="00EE1A16">
              <w:rPr>
                <w:i/>
                <w:sz w:val="22"/>
              </w:rPr>
              <w:t xml:space="preserve">After School Sports Clubs to be subsidised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2463" w14:textId="77777777" w:rsidR="00591F61" w:rsidRDefault="00591F61" w:rsidP="00591F61">
            <w:pPr>
              <w:spacing w:before="60" w:after="60" w:line="240" w:lineRule="auto"/>
              <w:ind w:left="57" w:right="57"/>
              <w:rPr>
                <w:sz w:val="22"/>
                <w:szCs w:val="22"/>
              </w:rPr>
            </w:pPr>
            <w:r>
              <w:rPr>
                <w:sz w:val="22"/>
                <w:szCs w:val="22"/>
              </w:rPr>
              <w:t>Supporting the wellbeing of disadvantaged pupils and families ensuring pupils are ready to learn through having breakfast and socialising with their peers - developing life and social skills.</w:t>
            </w:r>
          </w:p>
          <w:p w14:paraId="091512FB" w14:textId="4CAD445E" w:rsidR="00591F61" w:rsidRDefault="00591F61" w:rsidP="00AC5776">
            <w:pPr>
              <w:pStyle w:val="TableRowCentered"/>
              <w:jc w:val="left"/>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EEAB" w14:textId="603391DD" w:rsidR="00EE1A16" w:rsidRDefault="00EE1A16" w:rsidP="00AC5776">
            <w:pPr>
              <w:pStyle w:val="TableRowCentered"/>
              <w:jc w:val="left"/>
              <w:rPr>
                <w:sz w:val="22"/>
              </w:rPr>
            </w:pPr>
            <w:r>
              <w:rPr>
                <w:sz w:val="22"/>
              </w:rPr>
              <w:t>3</w:t>
            </w:r>
          </w:p>
        </w:tc>
      </w:tr>
      <w:tr w:rsidR="00AC5776" w14:paraId="43FECA75"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7807A" w14:textId="2FA98F33" w:rsidR="00AC5776" w:rsidRPr="00AC5776" w:rsidRDefault="00AC5776" w:rsidP="00AC5776">
            <w:pPr>
              <w:pStyle w:val="TableRow"/>
              <w:rPr>
                <w:sz w:val="22"/>
              </w:rPr>
            </w:pPr>
            <w:r>
              <w:rPr>
                <w:i/>
                <w:sz w:val="22"/>
              </w:rPr>
              <w:t>Leadership roles offered to disadvantaged children</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A4A2" w14:textId="7C4D6073" w:rsidR="00AC5776" w:rsidRDefault="00AC5776" w:rsidP="00AC5776">
            <w:pPr>
              <w:pStyle w:val="TableRowCentered"/>
              <w:jc w:val="left"/>
              <w:rPr>
                <w:sz w:val="22"/>
              </w:rPr>
            </w:pPr>
            <w:r>
              <w:rPr>
                <w:sz w:val="22"/>
              </w:rPr>
              <w:t>All children to be recognised and represented in roles throughout the school, for example, faith ambassadors, prefects and house captains, developing confidence/ leadership skills</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2425" w14:textId="77777777" w:rsidR="00AC5776" w:rsidRDefault="00AC5776" w:rsidP="00AC5776">
            <w:pPr>
              <w:pStyle w:val="TableRowCentered"/>
              <w:jc w:val="left"/>
              <w:rPr>
                <w:sz w:val="22"/>
              </w:rPr>
            </w:pPr>
            <w:r>
              <w:rPr>
                <w:sz w:val="22"/>
              </w:rPr>
              <w:t>3</w:t>
            </w:r>
          </w:p>
          <w:p w14:paraId="19A0AC4D" w14:textId="5A319BD2" w:rsidR="00AC5776" w:rsidRDefault="00AC5776" w:rsidP="00AC5776">
            <w:pPr>
              <w:pStyle w:val="TableRowCentered"/>
              <w:jc w:val="left"/>
              <w:rPr>
                <w:sz w:val="22"/>
              </w:rPr>
            </w:pPr>
            <w:r>
              <w:rPr>
                <w:sz w:val="22"/>
              </w:rPr>
              <w:t>4</w:t>
            </w:r>
          </w:p>
        </w:tc>
      </w:tr>
      <w:tr w:rsidR="00AC5776" w14:paraId="4AF97ED8"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5D7F" w14:textId="297FD51C" w:rsidR="00AC5776" w:rsidRDefault="00AF242F" w:rsidP="00AC5776">
            <w:pPr>
              <w:pStyle w:val="TableRow"/>
              <w:rPr>
                <w:i/>
                <w:sz w:val="22"/>
              </w:rPr>
            </w:pPr>
            <w:r>
              <w:rPr>
                <w:i/>
                <w:sz w:val="22"/>
              </w:rPr>
              <w:t>Staff mentors to</w:t>
            </w:r>
            <w:r w:rsidR="00AC5776">
              <w:rPr>
                <w:i/>
                <w:sz w:val="22"/>
              </w:rPr>
              <w:t xml:space="preserve"> PP child</w:t>
            </w:r>
            <w:r>
              <w:rPr>
                <w:i/>
                <w:sz w:val="22"/>
              </w:rPr>
              <w:t>ren</w:t>
            </w:r>
            <w:r w:rsidR="00AC5776">
              <w:rPr>
                <w:i/>
                <w:sz w:val="22"/>
              </w:rPr>
              <w:t>- meet at least weekly</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9BE63" w14:textId="060F23DE" w:rsidR="00AC5776" w:rsidRPr="00AC5776" w:rsidRDefault="00AC5776" w:rsidP="00AC5776">
            <w:pPr>
              <w:pStyle w:val="TableRowCentered"/>
              <w:jc w:val="left"/>
              <w:rPr>
                <w:sz w:val="22"/>
                <w:szCs w:val="22"/>
              </w:rPr>
            </w:pPr>
            <w:r w:rsidRPr="00AC5776">
              <w:rPr>
                <w:sz w:val="22"/>
                <w:szCs w:val="22"/>
              </w:rPr>
              <w:t>Children are provided with pastoral care, guidance and support to raise self-esteem and develop skills of resilience, independence and perseverance</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88FF" w14:textId="30F0068F" w:rsidR="00AC5776" w:rsidRDefault="00AC5776" w:rsidP="00AC5776">
            <w:pPr>
              <w:pStyle w:val="TableRowCentered"/>
              <w:ind w:left="0"/>
              <w:jc w:val="left"/>
              <w:rPr>
                <w:sz w:val="22"/>
              </w:rPr>
            </w:pPr>
            <w:r>
              <w:rPr>
                <w:sz w:val="22"/>
              </w:rPr>
              <w:t>4</w:t>
            </w:r>
          </w:p>
        </w:tc>
      </w:tr>
      <w:tr w:rsidR="00E54E3D" w14:paraId="779DD410"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9395" w14:textId="4E70A839" w:rsidR="00E54E3D" w:rsidRPr="009C0659" w:rsidRDefault="009C0659" w:rsidP="00AC5776">
            <w:pPr>
              <w:pStyle w:val="TableRow"/>
              <w:rPr>
                <w:i/>
                <w:sz w:val="22"/>
                <w:szCs w:val="22"/>
              </w:rPr>
            </w:pPr>
            <w:r w:rsidRPr="009C0659">
              <w:rPr>
                <w:i/>
                <w:sz w:val="22"/>
                <w:szCs w:val="22"/>
              </w:rPr>
              <w:t>Safeguarding and Pupil Wellbeing Officer employed to reach out to those families who</w:t>
            </w:r>
            <w:r w:rsidR="00176F1C">
              <w:rPr>
                <w:i/>
                <w:sz w:val="22"/>
                <w:szCs w:val="22"/>
              </w:rPr>
              <w:t xml:space="preserve"> </w:t>
            </w:r>
            <w:r w:rsidRPr="009C0659">
              <w:rPr>
                <w:i/>
                <w:sz w:val="22"/>
                <w:szCs w:val="22"/>
              </w:rPr>
              <w:t>need extra support through:</w:t>
            </w:r>
          </w:p>
          <w:p w14:paraId="47102ECD" w14:textId="77777777" w:rsidR="009C0659" w:rsidRPr="009C0659" w:rsidRDefault="009C0659" w:rsidP="009C0659">
            <w:pPr>
              <w:pStyle w:val="TableRow"/>
              <w:textAlignment w:val="baseline"/>
              <w:rPr>
                <w:i/>
                <w:color w:val="000000" w:themeColor="text1"/>
                <w:sz w:val="22"/>
                <w:szCs w:val="22"/>
              </w:rPr>
            </w:pPr>
            <w:r w:rsidRPr="009C0659">
              <w:rPr>
                <w:rStyle w:val="PlaceholderText"/>
                <w:i/>
                <w:color w:val="000000" w:themeColor="text1"/>
                <w:sz w:val="22"/>
                <w:szCs w:val="22"/>
              </w:rPr>
              <w:t>Home visits</w:t>
            </w:r>
          </w:p>
          <w:p w14:paraId="52E0453D" w14:textId="77777777" w:rsidR="009C0659" w:rsidRPr="009C0659" w:rsidRDefault="009C0659" w:rsidP="009C0659">
            <w:pPr>
              <w:pStyle w:val="TableRow"/>
              <w:textAlignment w:val="baseline"/>
              <w:rPr>
                <w:i/>
                <w:color w:val="000000" w:themeColor="text1"/>
                <w:sz w:val="22"/>
                <w:szCs w:val="22"/>
              </w:rPr>
            </w:pPr>
            <w:r w:rsidRPr="009C0659">
              <w:rPr>
                <w:rStyle w:val="PlaceholderText"/>
                <w:i/>
                <w:color w:val="000000" w:themeColor="text1"/>
                <w:sz w:val="22"/>
                <w:szCs w:val="22"/>
              </w:rPr>
              <w:t>Signposting for support</w:t>
            </w:r>
          </w:p>
          <w:p w14:paraId="5A95EFFC" w14:textId="77777777" w:rsidR="009C0659" w:rsidRDefault="009C0659" w:rsidP="009C0659">
            <w:pPr>
              <w:pStyle w:val="TableRow"/>
              <w:rPr>
                <w:rStyle w:val="PlaceholderText"/>
                <w:i/>
                <w:color w:val="000000" w:themeColor="text1"/>
                <w:sz w:val="22"/>
                <w:szCs w:val="22"/>
              </w:rPr>
            </w:pPr>
            <w:r w:rsidRPr="009C0659">
              <w:rPr>
                <w:rStyle w:val="PlaceholderText"/>
                <w:i/>
                <w:color w:val="000000" w:themeColor="text1"/>
                <w:sz w:val="22"/>
                <w:szCs w:val="22"/>
              </w:rPr>
              <w:t>Attending TAF, CIN, CP meetings</w:t>
            </w:r>
          </w:p>
          <w:p w14:paraId="53406B7F" w14:textId="02367313" w:rsidR="006448C5" w:rsidRPr="009C0659" w:rsidRDefault="006448C5" w:rsidP="00D34F0D">
            <w:pPr>
              <w:pStyle w:val="TableRow"/>
              <w:ind w:left="0"/>
              <w:rPr>
                <w:i/>
                <w:sz w:val="22"/>
                <w:szCs w:val="22"/>
              </w:rPr>
            </w:pPr>
            <w:r>
              <w:rPr>
                <w:rStyle w:val="PlaceholderText"/>
                <w:i/>
                <w:color w:val="000000" w:themeColor="text1"/>
                <w:sz w:val="22"/>
                <w:szCs w:val="22"/>
              </w:rPr>
              <w:t>Attendance Officer in place to support families and improve attendance</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ACE57" w14:textId="2F9C0674" w:rsidR="00E54E3D" w:rsidRDefault="00E54E3D" w:rsidP="00E54E3D">
            <w:pPr>
              <w:pStyle w:val="TableRowCentered"/>
              <w:jc w:val="left"/>
              <w:rPr>
                <w:color w:val="000000" w:themeColor="text1"/>
                <w:szCs w:val="24"/>
              </w:rPr>
            </w:pPr>
            <w:r w:rsidRPr="00E54E3D">
              <w:rPr>
                <w:color w:val="000000" w:themeColor="text1"/>
                <w:sz w:val="22"/>
                <w:szCs w:val="22"/>
              </w:rPr>
              <w:t>Dedicated person in the role, who builds a relationship</w:t>
            </w:r>
            <w:r w:rsidR="009C0659">
              <w:rPr>
                <w:color w:val="000000" w:themeColor="text1"/>
                <w:sz w:val="22"/>
                <w:szCs w:val="22"/>
              </w:rPr>
              <w:t xml:space="preserve"> </w:t>
            </w:r>
            <w:r w:rsidR="00176F1C">
              <w:rPr>
                <w:color w:val="000000" w:themeColor="text1"/>
                <w:sz w:val="22"/>
                <w:szCs w:val="22"/>
              </w:rPr>
              <w:t>of trust and support with the parents</w:t>
            </w:r>
            <w:r w:rsidR="009C0659">
              <w:rPr>
                <w:color w:val="000000" w:themeColor="text1"/>
                <w:sz w:val="22"/>
                <w:szCs w:val="22"/>
              </w:rPr>
              <w:t>, leading</w:t>
            </w:r>
            <w:r w:rsidRPr="00E54E3D">
              <w:rPr>
                <w:color w:val="000000" w:themeColor="text1"/>
                <w:sz w:val="22"/>
                <w:szCs w:val="22"/>
              </w:rPr>
              <w:t xml:space="preserve"> to improved relationships with school and </w:t>
            </w:r>
            <w:r w:rsidR="00176F1C">
              <w:rPr>
                <w:color w:val="000000" w:themeColor="text1"/>
                <w:sz w:val="22"/>
                <w:szCs w:val="22"/>
              </w:rPr>
              <w:t xml:space="preserve">improved </w:t>
            </w:r>
            <w:r w:rsidRPr="00E54E3D">
              <w:rPr>
                <w:color w:val="000000" w:themeColor="text1"/>
                <w:sz w:val="22"/>
                <w:szCs w:val="22"/>
              </w:rPr>
              <w:t>home lives for the whole family</w:t>
            </w:r>
            <w:r w:rsidR="006448C5">
              <w:rPr>
                <w:color w:val="000000" w:themeColor="text1"/>
                <w:szCs w:val="24"/>
              </w:rPr>
              <w:t>. This includes supporting attendance and punctuality where needed.</w:t>
            </w:r>
          </w:p>
          <w:p w14:paraId="33220046" w14:textId="77777777" w:rsidR="00591F61" w:rsidRDefault="00591F61" w:rsidP="00591F61">
            <w:pPr>
              <w:pBdr>
                <w:top w:val="nil"/>
                <w:left w:val="nil"/>
                <w:bottom w:val="nil"/>
                <w:right w:val="nil"/>
                <w:between w:val="nil"/>
              </w:pBdr>
              <w:spacing w:before="60" w:after="60" w:line="240" w:lineRule="auto"/>
              <w:ind w:left="57" w:right="57"/>
              <w:rPr>
                <w:sz w:val="22"/>
                <w:szCs w:val="22"/>
              </w:rPr>
            </w:pPr>
            <w:r>
              <w:rPr>
                <w:sz w:val="22"/>
                <w:szCs w:val="22"/>
              </w:rPr>
              <w:t>EEF Toolkit:</w:t>
            </w:r>
          </w:p>
          <w:p w14:paraId="3838DC7C" w14:textId="3A715266" w:rsidR="00591F61" w:rsidRDefault="00015622" w:rsidP="00591F61">
            <w:pPr>
              <w:pStyle w:val="TableRowCentered"/>
              <w:ind w:left="0"/>
              <w:jc w:val="left"/>
              <w:rPr>
                <w:color w:val="000000" w:themeColor="text1"/>
                <w:szCs w:val="24"/>
              </w:rPr>
            </w:pPr>
            <w:hyperlink r:id="rId18">
              <w:r w:rsidR="00591F61">
                <w:rPr>
                  <w:color w:val="1155CC"/>
                  <w:sz w:val="22"/>
                  <w:szCs w:val="22"/>
                  <w:u w:val="single"/>
                </w:rPr>
                <w:t>https://educationendowmentfoundation.org.uk/education-evidence/teaching-learning-toolkit/parental-engagement</w:t>
              </w:r>
            </w:hyperlink>
          </w:p>
          <w:p w14:paraId="3131EB62" w14:textId="77777777" w:rsidR="00591F61" w:rsidRDefault="00591F61" w:rsidP="00591F61">
            <w:pPr>
              <w:pBdr>
                <w:top w:val="nil"/>
                <w:left w:val="nil"/>
                <w:bottom w:val="nil"/>
                <w:right w:val="nil"/>
                <w:between w:val="nil"/>
              </w:pBdr>
              <w:spacing w:before="60" w:after="60" w:line="240" w:lineRule="auto"/>
              <w:ind w:left="57" w:right="57"/>
              <w:rPr>
                <w:sz w:val="22"/>
                <w:szCs w:val="22"/>
              </w:rPr>
            </w:pPr>
            <w:r>
              <w:rPr>
                <w:sz w:val="22"/>
                <w:szCs w:val="22"/>
              </w:rPr>
              <w:t>EEF Toolkit:</w:t>
            </w:r>
          </w:p>
          <w:p w14:paraId="631FDC86" w14:textId="04B1613B" w:rsidR="00591F61" w:rsidRDefault="00015622" w:rsidP="00591F61">
            <w:pPr>
              <w:pBdr>
                <w:top w:val="nil"/>
                <w:left w:val="nil"/>
                <w:bottom w:val="nil"/>
                <w:right w:val="nil"/>
                <w:between w:val="nil"/>
              </w:pBdr>
              <w:spacing w:before="60" w:after="60" w:line="240" w:lineRule="auto"/>
              <w:ind w:left="57" w:right="57"/>
              <w:rPr>
                <w:color w:val="1155CC"/>
                <w:sz w:val="22"/>
                <w:szCs w:val="22"/>
                <w:u w:val="single"/>
              </w:rPr>
            </w:pPr>
            <w:hyperlink r:id="rId19">
              <w:r w:rsidR="00591F61">
                <w:rPr>
                  <w:color w:val="1155CC"/>
                  <w:sz w:val="22"/>
                  <w:szCs w:val="22"/>
                  <w:u w:val="single"/>
                </w:rPr>
                <w:t>https://educationendowmentfoundation.org.uk/education-evidence/teaching-learning-toolkit/social-and-emotional-learning</w:t>
              </w:r>
            </w:hyperlink>
          </w:p>
          <w:p w14:paraId="1F651FB0" w14:textId="77777777" w:rsidR="006448C5" w:rsidRPr="001B1D66" w:rsidRDefault="006448C5" w:rsidP="006448C5">
            <w:pPr>
              <w:spacing w:before="60" w:after="60" w:line="240" w:lineRule="auto"/>
              <w:ind w:left="57" w:right="57"/>
              <w:rPr>
                <w:sz w:val="22"/>
                <w:szCs w:val="22"/>
              </w:rPr>
            </w:pPr>
            <w:r w:rsidRPr="001B1D66">
              <w:rPr>
                <w:sz w:val="22"/>
                <w:szCs w:val="22"/>
              </w:rPr>
              <w:t>DfE’s Improving School Attendance;</w:t>
            </w:r>
          </w:p>
          <w:p w14:paraId="057D71EA" w14:textId="77777777" w:rsidR="006448C5" w:rsidRPr="001B1D66" w:rsidRDefault="006448C5" w:rsidP="006448C5">
            <w:pPr>
              <w:spacing w:before="60" w:after="60" w:line="240" w:lineRule="auto"/>
              <w:ind w:left="57" w:right="57"/>
              <w:rPr>
                <w:sz w:val="22"/>
                <w:szCs w:val="22"/>
              </w:rPr>
            </w:pPr>
            <w:r w:rsidRPr="001B1D66">
              <w:rPr>
                <w:color w:val="1155CC"/>
                <w:sz w:val="22"/>
                <w:szCs w:val="22"/>
                <w:u w:val="single"/>
              </w:rPr>
              <w:t>https://www.gov.uk/government/publications/school-attendance/framework-for-securing-full-attendance-actions-for-schools-and-local-authorities</w:t>
            </w:r>
          </w:p>
          <w:p w14:paraId="23EBBDB9" w14:textId="77777777" w:rsidR="006448C5" w:rsidRDefault="006448C5" w:rsidP="00591F61">
            <w:pPr>
              <w:pBdr>
                <w:top w:val="nil"/>
                <w:left w:val="nil"/>
                <w:bottom w:val="nil"/>
                <w:right w:val="nil"/>
                <w:between w:val="nil"/>
              </w:pBdr>
              <w:spacing w:before="60" w:after="60" w:line="240" w:lineRule="auto"/>
              <w:ind w:left="57" w:right="57"/>
              <w:rPr>
                <w:sz w:val="22"/>
                <w:szCs w:val="22"/>
              </w:rPr>
            </w:pPr>
          </w:p>
          <w:p w14:paraId="6968B822" w14:textId="58EB0424" w:rsidR="00591F61" w:rsidRPr="00E54E3D" w:rsidRDefault="00591F61" w:rsidP="00E54E3D">
            <w:pPr>
              <w:pStyle w:val="TableRowCentered"/>
              <w:jc w:val="left"/>
              <w:rPr>
                <w:color w:val="000000" w:themeColor="text1"/>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D7C0" w14:textId="51A3B41D" w:rsidR="00E54E3D" w:rsidRDefault="009C0659" w:rsidP="00AC5776">
            <w:pPr>
              <w:pStyle w:val="TableRowCentered"/>
              <w:ind w:left="0"/>
              <w:jc w:val="left"/>
              <w:rPr>
                <w:sz w:val="22"/>
              </w:rPr>
            </w:pPr>
            <w:r>
              <w:rPr>
                <w:sz w:val="22"/>
              </w:rPr>
              <w:t>4</w:t>
            </w:r>
          </w:p>
        </w:tc>
      </w:tr>
      <w:tr w:rsidR="009633C4" w14:paraId="1AB1161C" w14:textId="77777777" w:rsidTr="006448C5">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4FC8" w14:textId="791F768E" w:rsidR="009633C4" w:rsidRPr="009C0659" w:rsidRDefault="009633C4" w:rsidP="00AC5776">
            <w:pPr>
              <w:pStyle w:val="TableRow"/>
              <w:rPr>
                <w:i/>
                <w:sz w:val="22"/>
                <w:szCs w:val="22"/>
              </w:rPr>
            </w:pPr>
            <w:r>
              <w:rPr>
                <w:i/>
                <w:sz w:val="22"/>
                <w:szCs w:val="22"/>
              </w:rPr>
              <w:t>6 2 7 Transfer Support for Children to run workshops in summer term</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8892" w14:textId="29C7D5C2" w:rsidR="009633C4" w:rsidRPr="00E54E3D" w:rsidRDefault="009633C4" w:rsidP="00E54E3D">
            <w:pPr>
              <w:pStyle w:val="TableRowCentered"/>
              <w:jc w:val="left"/>
              <w:rPr>
                <w:color w:val="000000" w:themeColor="text1"/>
                <w:sz w:val="22"/>
                <w:szCs w:val="22"/>
              </w:rPr>
            </w:pPr>
            <w:r>
              <w:rPr>
                <w:color w:val="000000" w:themeColor="text1"/>
                <w:sz w:val="22"/>
                <w:szCs w:val="22"/>
              </w:rPr>
              <w:t xml:space="preserve">Effective transition between schools is vital for continuing a child’s education and improving the mental well-being of children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0581" w14:textId="75B0E649" w:rsidR="009633C4" w:rsidRDefault="009633C4" w:rsidP="00AC5776">
            <w:pPr>
              <w:pStyle w:val="TableRowCentered"/>
              <w:ind w:left="0"/>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4B61B628" w:rsidR="00E66558" w:rsidRDefault="009D71E8" w:rsidP="00120AB1">
      <w:pPr>
        <w:rPr>
          <w:i/>
          <w:iCs/>
          <w:color w:val="104F75"/>
          <w:sz w:val="28"/>
          <w:szCs w:val="28"/>
        </w:rPr>
      </w:pPr>
      <w:r>
        <w:rPr>
          <w:b/>
          <w:bCs/>
          <w:color w:val="104F75"/>
          <w:sz w:val="28"/>
          <w:szCs w:val="28"/>
        </w:rPr>
        <w:t xml:space="preserve">Total budgeted cost: £ </w:t>
      </w:r>
      <w:r w:rsidR="00F00D9B">
        <w:rPr>
          <w:i/>
          <w:iCs/>
          <w:color w:val="104F75"/>
          <w:sz w:val="28"/>
          <w:szCs w:val="28"/>
        </w:rPr>
        <w:t>78,100</w:t>
      </w:r>
    </w:p>
    <w:p w14:paraId="2A7D5543" w14:textId="45E5D529" w:rsidR="00E66558" w:rsidRDefault="009D71E8" w:rsidP="003875EF">
      <w:pPr>
        <w:pStyle w:val="Heading1"/>
      </w:pPr>
      <w:r>
        <w:t>Part B: Review of outcomes in the previous academic year</w:t>
      </w:r>
      <w:r w:rsidR="003875EF">
        <w:t xml:space="preserve"> - </w:t>
      </w:r>
      <w:r>
        <w:t>Pupil premium strategy outcomes</w:t>
      </w:r>
    </w:p>
    <w:p w14:paraId="6247FE3F" w14:textId="1CD3EA2C" w:rsidR="00E223B6" w:rsidRDefault="009D71E8">
      <w:r>
        <w:t xml:space="preserve">This details the impact that our pupil premium activity had on pupils in the 2020 to 2021 academic year. </w:t>
      </w:r>
      <w:r w:rsidR="0045678A" w:rsidRPr="0045678A">
        <w:t>The pupil premium strategy plan for this academic year had been considerably affected by the pandemic. However, there was monitoring of the teaching an</w:t>
      </w:r>
      <w:r w:rsidR="0045678A">
        <w:t xml:space="preserve">d learning taking place and </w:t>
      </w:r>
      <w:r w:rsidR="0045678A" w:rsidRPr="0045678A">
        <w:t>CPD for both teachers a</w:t>
      </w:r>
      <w:r w:rsidR="0045678A">
        <w:t>nd support staff</w:t>
      </w:r>
      <w:r w:rsidR="0045678A" w:rsidRPr="0045678A">
        <w:t xml:space="preserve"> provided remotely. Upon return to school, monitoring evidenced</w:t>
      </w:r>
      <w:r w:rsidR="0045678A">
        <w:t xml:space="preserve"> the quality of teaching</w:t>
      </w:r>
      <w:r w:rsidR="0045678A" w:rsidRPr="0045678A">
        <w:t xml:space="preserve"> and outcomes across the year have improved, although the impact of the pandemic can clearly be seen.</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6B5D" w14:textId="77777777" w:rsidR="007D6BAF" w:rsidRDefault="007D6BAF" w:rsidP="007D6BAF">
            <w:pPr>
              <w:autoSpaceDE w:val="0"/>
              <w:adjustRightInd w:val="0"/>
              <w:rPr>
                <w:rFonts w:cs="Arial"/>
                <w:bCs/>
                <w:color w:val="000000"/>
              </w:rPr>
            </w:pPr>
            <w:r w:rsidRPr="007D6BAF">
              <w:rPr>
                <w:rFonts w:cs="Arial"/>
                <w:b/>
                <w:bCs/>
                <w:color w:val="000000"/>
              </w:rPr>
              <w:t>PP Progress</w:t>
            </w:r>
            <w:r>
              <w:rPr>
                <w:rFonts w:cs="Arial"/>
                <w:bCs/>
                <w:color w:val="000000"/>
              </w:rPr>
              <w:t xml:space="preserve">: </w:t>
            </w:r>
          </w:p>
          <w:p w14:paraId="25AAFC34" w14:textId="77777777" w:rsidR="0045678A" w:rsidRDefault="003875EF" w:rsidP="007D6BAF">
            <w:pPr>
              <w:autoSpaceDE w:val="0"/>
              <w:adjustRightInd w:val="0"/>
              <w:rPr>
                <w:rFonts w:cs="Arial"/>
                <w:bCs/>
                <w:color w:val="000000"/>
              </w:rPr>
            </w:pPr>
            <w:r w:rsidRPr="003875EF">
              <w:rPr>
                <w:rFonts w:cs="Arial"/>
                <w:b/>
                <w:bCs/>
                <w:color w:val="000000"/>
              </w:rPr>
              <w:t>Small group and 1:1 tuition:</w:t>
            </w:r>
            <w:r>
              <w:rPr>
                <w:rFonts w:cs="Arial"/>
                <w:bCs/>
                <w:color w:val="000000"/>
              </w:rPr>
              <w:t xml:space="preserve"> </w:t>
            </w:r>
            <w:r w:rsidR="007D6BAF" w:rsidRPr="00A31846">
              <w:rPr>
                <w:rFonts w:cs="Arial"/>
                <w:bCs/>
                <w:color w:val="000000"/>
              </w:rPr>
              <w:t>In year data shows that disadvantaged pupils made expected progress</w:t>
            </w:r>
            <w:r w:rsidR="007D6BAF">
              <w:rPr>
                <w:rFonts w:cs="Arial"/>
                <w:bCs/>
                <w:color w:val="000000"/>
              </w:rPr>
              <w:t>, and in some cases accelerated progress,</w:t>
            </w:r>
            <w:r w:rsidR="007D6BAF" w:rsidRPr="00A31846">
              <w:rPr>
                <w:rFonts w:cs="Arial"/>
                <w:bCs/>
                <w:color w:val="000000"/>
              </w:rPr>
              <w:t xml:space="preserve"> in reading, writing and maths.</w:t>
            </w:r>
            <w:r w:rsidR="007D6BAF">
              <w:rPr>
                <w:rFonts w:cs="Arial"/>
                <w:bCs/>
                <w:color w:val="000000"/>
              </w:rPr>
              <w:t xml:space="preserve"> </w:t>
            </w:r>
          </w:p>
          <w:p w14:paraId="4991DB56" w14:textId="2C71D2A6" w:rsidR="007D6BAF" w:rsidRPr="0045678A" w:rsidRDefault="003875EF" w:rsidP="007D6BAF">
            <w:pPr>
              <w:autoSpaceDE w:val="0"/>
              <w:adjustRightInd w:val="0"/>
              <w:rPr>
                <w:rFonts w:cs="Arial"/>
                <w:bCs/>
                <w:color w:val="000000"/>
              </w:rPr>
            </w:pPr>
            <w:r w:rsidRPr="003875EF">
              <w:rPr>
                <w:rFonts w:cs="Arial"/>
                <w:b/>
                <w:color w:val="000000"/>
              </w:rPr>
              <w:t>Laptops purchased</w:t>
            </w:r>
            <w:r>
              <w:rPr>
                <w:rFonts w:cs="Arial"/>
                <w:color w:val="000000"/>
              </w:rPr>
              <w:t xml:space="preserve"> for vulnerable pupils so that access to online learning could take place. </w:t>
            </w:r>
            <w:r w:rsidR="007D6BAF">
              <w:rPr>
                <w:rFonts w:cs="Arial"/>
                <w:bCs/>
                <w:color w:val="000000"/>
              </w:rPr>
              <w:t xml:space="preserve">They could join live Teams’ lessons and also complete work set on the online platform Seesaw. </w:t>
            </w:r>
          </w:p>
          <w:p w14:paraId="46A321DA" w14:textId="5B56A6B0" w:rsidR="00E93763" w:rsidRPr="0045678A" w:rsidRDefault="007D6BAF" w:rsidP="00E93763">
            <w:pPr>
              <w:spacing w:line="256" w:lineRule="auto"/>
              <w:rPr>
                <w:rFonts w:cs="Arial"/>
                <w:b/>
                <w:bCs/>
              </w:rPr>
            </w:pPr>
            <w:r w:rsidRPr="007D6BAF">
              <w:rPr>
                <w:rFonts w:cs="Arial"/>
                <w:b/>
                <w:bCs/>
              </w:rPr>
              <w:t>PP Attainment:</w:t>
            </w:r>
            <w:r w:rsidR="0045678A">
              <w:rPr>
                <w:rFonts w:cs="Arial"/>
                <w:b/>
                <w:bCs/>
              </w:rPr>
              <w:t xml:space="preserve"> </w:t>
            </w:r>
            <w:r w:rsidR="00E93763" w:rsidRPr="00A31846">
              <w:rPr>
                <w:rFonts w:cs="Arial"/>
                <w:bCs/>
                <w:color w:val="000000"/>
              </w:rPr>
              <w:t>In year data shows that disadvantaged pupils attain</w:t>
            </w:r>
            <w:r w:rsidR="00E93763">
              <w:rPr>
                <w:rFonts w:cs="Arial"/>
                <w:bCs/>
                <w:color w:val="000000"/>
              </w:rPr>
              <w:t>ed</w:t>
            </w:r>
            <w:r w:rsidR="00E93763" w:rsidRPr="00A31846">
              <w:rPr>
                <w:rFonts w:cs="Arial"/>
                <w:bCs/>
                <w:color w:val="000000"/>
              </w:rPr>
              <w:t xml:space="preserve"> higher in reading compared to all pupils</w:t>
            </w:r>
            <w:r w:rsidR="00E93763">
              <w:rPr>
                <w:rFonts w:cs="Arial"/>
                <w:bCs/>
                <w:color w:val="000000"/>
              </w:rPr>
              <w:t xml:space="preserve"> </w:t>
            </w:r>
          </w:p>
          <w:p w14:paraId="7B568D1F" w14:textId="77777777" w:rsidR="00E93763" w:rsidRPr="00A31846" w:rsidRDefault="00E93763" w:rsidP="00E93763">
            <w:pPr>
              <w:spacing w:line="256" w:lineRule="auto"/>
              <w:rPr>
                <w:rFonts w:cs="Arial"/>
                <w:bCs/>
                <w:color w:val="000000"/>
              </w:rPr>
            </w:pPr>
            <w:r w:rsidRPr="00A31846">
              <w:rPr>
                <w:rFonts w:cs="Arial"/>
                <w:bCs/>
                <w:color w:val="000000"/>
              </w:rPr>
              <w:t>In year data shows that disadvantaged pupils attain broadly the same as all pupils in maths compared to all pupils.</w:t>
            </w:r>
          </w:p>
          <w:p w14:paraId="7D2D82E8" w14:textId="0B7329EE" w:rsidR="00E93763" w:rsidRPr="0045678A" w:rsidRDefault="00E93763" w:rsidP="00E93763">
            <w:pPr>
              <w:spacing w:line="256" w:lineRule="auto"/>
              <w:rPr>
                <w:rFonts w:cs="Arial"/>
                <w:bCs/>
                <w:u w:val="single"/>
              </w:rPr>
            </w:pPr>
            <w:r>
              <w:rPr>
                <w:rFonts w:cs="Arial"/>
                <w:bCs/>
                <w:u w:val="single"/>
              </w:rPr>
              <w:t xml:space="preserve">End of </w:t>
            </w:r>
            <w:r w:rsidRPr="009F53B5">
              <w:rPr>
                <w:rFonts w:cs="Arial"/>
                <w:bCs/>
                <w:u w:val="single"/>
              </w:rPr>
              <w:t>KS1 (based on 4 pupils)</w:t>
            </w:r>
            <w:r w:rsidR="0045678A">
              <w:rPr>
                <w:rFonts w:cs="Arial"/>
                <w:bCs/>
                <w:u w:val="single"/>
              </w:rPr>
              <w:t xml:space="preserve">: </w:t>
            </w:r>
            <w:r w:rsidRPr="009F53B5">
              <w:rPr>
                <w:rFonts w:cs="Arial"/>
                <w:bCs/>
              </w:rPr>
              <w:t>Internal data shows disadvantaged pupils attain</w:t>
            </w:r>
            <w:r>
              <w:rPr>
                <w:rFonts w:cs="Arial"/>
                <w:bCs/>
              </w:rPr>
              <w:t>ed</w:t>
            </w:r>
            <w:r w:rsidRPr="009F53B5">
              <w:rPr>
                <w:rFonts w:cs="Arial"/>
                <w:bCs/>
              </w:rPr>
              <w:t xml:space="preserve"> higher than all pupils in reading, writing and maths.</w:t>
            </w:r>
          </w:p>
          <w:p w14:paraId="62E7CE6A" w14:textId="4DD90354" w:rsidR="00E93763" w:rsidRPr="0045678A" w:rsidRDefault="00E93763" w:rsidP="007D6BAF">
            <w:pPr>
              <w:spacing w:line="256" w:lineRule="auto"/>
              <w:rPr>
                <w:rFonts w:cs="Arial"/>
                <w:bCs/>
                <w:u w:val="single"/>
              </w:rPr>
            </w:pPr>
            <w:r>
              <w:rPr>
                <w:rFonts w:cs="Arial"/>
                <w:bCs/>
                <w:u w:val="single"/>
              </w:rPr>
              <w:t xml:space="preserve">End of </w:t>
            </w:r>
            <w:r w:rsidR="0045678A">
              <w:rPr>
                <w:rFonts w:cs="Arial"/>
                <w:bCs/>
                <w:u w:val="single"/>
              </w:rPr>
              <w:t xml:space="preserve">KS2:  </w:t>
            </w:r>
            <w:r w:rsidRPr="009F53B5">
              <w:rPr>
                <w:rFonts w:cs="Arial"/>
                <w:bCs/>
              </w:rPr>
              <w:t>Internal data shows disadvantaged pupils attain</w:t>
            </w:r>
            <w:r>
              <w:rPr>
                <w:rFonts w:cs="Arial"/>
                <w:bCs/>
              </w:rPr>
              <w:t>ed</w:t>
            </w:r>
            <w:r w:rsidRPr="009F53B5">
              <w:rPr>
                <w:rFonts w:cs="Arial"/>
                <w:bCs/>
              </w:rPr>
              <w:t xml:space="preserve"> broadly the same as all pupils in reading, writing and maths</w:t>
            </w:r>
          </w:p>
          <w:tbl>
            <w:tblPr>
              <w:tblStyle w:val="TableGrid"/>
              <w:tblW w:w="0" w:type="auto"/>
              <w:tblLook w:val="04A0" w:firstRow="1" w:lastRow="0" w:firstColumn="1" w:lastColumn="0" w:noHBand="0" w:noVBand="1"/>
            </w:tblPr>
            <w:tblGrid>
              <w:gridCol w:w="1176"/>
              <w:gridCol w:w="1098"/>
              <w:gridCol w:w="1099"/>
              <w:gridCol w:w="1046"/>
              <w:gridCol w:w="1046"/>
              <w:gridCol w:w="987"/>
              <w:gridCol w:w="987"/>
              <w:gridCol w:w="914"/>
              <w:gridCol w:w="914"/>
            </w:tblGrid>
            <w:tr w:rsidR="00E223B6" w14:paraId="5F3ABA6A" w14:textId="77777777" w:rsidTr="00C45E0F">
              <w:tc>
                <w:tcPr>
                  <w:tcW w:w="1555" w:type="dxa"/>
                  <w:shd w:val="clear" w:color="auto" w:fill="00B0F0"/>
                </w:tcPr>
                <w:p w14:paraId="56DA4B98" w14:textId="34BBF376" w:rsidR="00E223B6" w:rsidRPr="00B00321" w:rsidRDefault="00E223B6" w:rsidP="00E223B6">
                  <w:pPr>
                    <w:jc w:val="center"/>
                    <w:rPr>
                      <w:rFonts w:ascii="Arial" w:hAnsi="Arial" w:cs="Arial"/>
                      <w:b/>
                      <w:sz w:val="22"/>
                      <w:szCs w:val="22"/>
                    </w:rPr>
                  </w:pPr>
                  <w:r w:rsidRPr="00B00321">
                    <w:rPr>
                      <w:rFonts w:ascii="Arial" w:hAnsi="Arial" w:cs="Arial"/>
                      <w:b/>
                      <w:sz w:val="22"/>
                      <w:szCs w:val="22"/>
                    </w:rPr>
                    <w:t>Year group</w:t>
                  </w:r>
                </w:p>
                <w:p w14:paraId="0F92E95A" w14:textId="77777777" w:rsidR="00E223B6" w:rsidRPr="00B00321" w:rsidRDefault="00E223B6" w:rsidP="00E223B6">
                  <w:pPr>
                    <w:jc w:val="center"/>
                    <w:rPr>
                      <w:rFonts w:ascii="Arial" w:hAnsi="Arial" w:cs="Arial"/>
                      <w:b/>
                      <w:sz w:val="22"/>
                      <w:szCs w:val="22"/>
                    </w:rPr>
                  </w:pPr>
                </w:p>
              </w:tc>
              <w:tc>
                <w:tcPr>
                  <w:tcW w:w="1204" w:type="dxa"/>
                  <w:shd w:val="clear" w:color="auto" w:fill="00B0F0"/>
                </w:tcPr>
                <w:p w14:paraId="120EE116"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Reading</w:t>
                  </w:r>
                </w:p>
              </w:tc>
              <w:tc>
                <w:tcPr>
                  <w:tcW w:w="1205" w:type="dxa"/>
                  <w:shd w:val="clear" w:color="auto" w:fill="00B0F0"/>
                </w:tcPr>
                <w:p w14:paraId="5FDDD617"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Reading GD</w:t>
                  </w:r>
                </w:p>
              </w:tc>
              <w:tc>
                <w:tcPr>
                  <w:tcW w:w="1205" w:type="dxa"/>
                  <w:shd w:val="clear" w:color="auto" w:fill="00B0F0"/>
                </w:tcPr>
                <w:p w14:paraId="5C6B2D09"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Writing</w:t>
                  </w:r>
                </w:p>
              </w:tc>
              <w:tc>
                <w:tcPr>
                  <w:tcW w:w="1205" w:type="dxa"/>
                  <w:shd w:val="clear" w:color="auto" w:fill="00B0F0"/>
                </w:tcPr>
                <w:p w14:paraId="16AB95B4"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Writing GD</w:t>
                  </w:r>
                </w:p>
              </w:tc>
              <w:tc>
                <w:tcPr>
                  <w:tcW w:w="1205" w:type="dxa"/>
                  <w:shd w:val="clear" w:color="auto" w:fill="00B0F0"/>
                </w:tcPr>
                <w:p w14:paraId="4F9ACF4A"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Maths</w:t>
                  </w:r>
                </w:p>
              </w:tc>
              <w:tc>
                <w:tcPr>
                  <w:tcW w:w="1204" w:type="dxa"/>
                  <w:shd w:val="clear" w:color="auto" w:fill="00B0F0"/>
                </w:tcPr>
                <w:p w14:paraId="010F2CDE"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Maths GD</w:t>
                  </w:r>
                </w:p>
              </w:tc>
              <w:tc>
                <w:tcPr>
                  <w:tcW w:w="1205" w:type="dxa"/>
                  <w:shd w:val="clear" w:color="auto" w:fill="00B0F0"/>
                </w:tcPr>
                <w:p w14:paraId="3E38F21A"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RE</w:t>
                  </w:r>
                </w:p>
              </w:tc>
              <w:tc>
                <w:tcPr>
                  <w:tcW w:w="1205" w:type="dxa"/>
                  <w:shd w:val="clear" w:color="auto" w:fill="00B0F0"/>
                </w:tcPr>
                <w:p w14:paraId="29ACA4CB" w14:textId="77777777" w:rsidR="00E223B6" w:rsidRPr="00A42FB3" w:rsidRDefault="00E223B6" w:rsidP="00E223B6">
                  <w:pPr>
                    <w:jc w:val="center"/>
                    <w:rPr>
                      <w:rFonts w:ascii="Arial" w:hAnsi="Arial" w:cs="Arial"/>
                      <w:b/>
                      <w:sz w:val="20"/>
                      <w:szCs w:val="20"/>
                    </w:rPr>
                  </w:pPr>
                  <w:r w:rsidRPr="00A42FB3">
                    <w:rPr>
                      <w:rFonts w:ascii="Arial" w:hAnsi="Arial" w:cs="Arial"/>
                      <w:b/>
                      <w:sz w:val="20"/>
                      <w:szCs w:val="20"/>
                    </w:rPr>
                    <w:t>RE GD</w:t>
                  </w:r>
                </w:p>
              </w:tc>
            </w:tr>
            <w:tr w:rsidR="00E223B6" w14:paraId="33143F00" w14:textId="77777777" w:rsidTr="00C45E0F">
              <w:tc>
                <w:tcPr>
                  <w:tcW w:w="1555" w:type="dxa"/>
                </w:tcPr>
                <w:p w14:paraId="6B0E56F6" w14:textId="77777777" w:rsidR="00E223B6" w:rsidRPr="00B00321" w:rsidRDefault="00E223B6" w:rsidP="00E223B6">
                  <w:pPr>
                    <w:rPr>
                      <w:rFonts w:ascii="Arial" w:hAnsi="Arial" w:cs="Arial"/>
                      <w:sz w:val="22"/>
                      <w:szCs w:val="22"/>
                    </w:rPr>
                  </w:pPr>
                  <w:r w:rsidRPr="00B00321">
                    <w:rPr>
                      <w:rFonts w:ascii="Arial" w:hAnsi="Arial" w:cs="Arial"/>
                      <w:sz w:val="22"/>
                      <w:szCs w:val="22"/>
                    </w:rPr>
                    <w:t>Year 1</w:t>
                  </w:r>
                  <w:r>
                    <w:rPr>
                      <w:rFonts w:ascii="Arial" w:hAnsi="Arial" w:cs="Arial"/>
                      <w:sz w:val="22"/>
                      <w:szCs w:val="22"/>
                    </w:rPr>
                    <w:t xml:space="preserve"> </w:t>
                  </w:r>
                </w:p>
              </w:tc>
              <w:tc>
                <w:tcPr>
                  <w:tcW w:w="1204" w:type="dxa"/>
                </w:tcPr>
                <w:p w14:paraId="202B0F22" w14:textId="77777777" w:rsidR="00E223B6" w:rsidRPr="00A42FB3" w:rsidRDefault="00E223B6" w:rsidP="00E223B6">
                  <w:pPr>
                    <w:jc w:val="center"/>
                    <w:rPr>
                      <w:rFonts w:ascii="Arial" w:hAnsi="Arial" w:cs="Arial"/>
                      <w:sz w:val="22"/>
                      <w:szCs w:val="22"/>
                    </w:rPr>
                  </w:pPr>
                  <w:r>
                    <w:rPr>
                      <w:rFonts w:ascii="Arial" w:hAnsi="Arial" w:cs="Arial"/>
                      <w:sz w:val="22"/>
                      <w:szCs w:val="22"/>
                    </w:rPr>
                    <w:t>44%</w:t>
                  </w:r>
                </w:p>
              </w:tc>
              <w:tc>
                <w:tcPr>
                  <w:tcW w:w="1205" w:type="dxa"/>
                </w:tcPr>
                <w:p w14:paraId="2EF05741" w14:textId="77777777" w:rsidR="00E223B6" w:rsidRPr="00A42FB3" w:rsidRDefault="00E223B6" w:rsidP="00E223B6">
                  <w:pPr>
                    <w:jc w:val="center"/>
                    <w:rPr>
                      <w:rFonts w:ascii="Arial" w:hAnsi="Arial" w:cs="Arial"/>
                      <w:sz w:val="22"/>
                      <w:szCs w:val="22"/>
                    </w:rPr>
                  </w:pPr>
                  <w:r>
                    <w:rPr>
                      <w:rFonts w:ascii="Arial" w:hAnsi="Arial" w:cs="Arial"/>
                      <w:sz w:val="22"/>
                      <w:szCs w:val="22"/>
                    </w:rPr>
                    <w:t>11%</w:t>
                  </w:r>
                </w:p>
              </w:tc>
              <w:tc>
                <w:tcPr>
                  <w:tcW w:w="1205" w:type="dxa"/>
                </w:tcPr>
                <w:p w14:paraId="55503287" w14:textId="77777777" w:rsidR="00E223B6" w:rsidRPr="00A42FB3" w:rsidRDefault="00E223B6" w:rsidP="00E223B6">
                  <w:pPr>
                    <w:jc w:val="center"/>
                    <w:rPr>
                      <w:rFonts w:ascii="Arial" w:hAnsi="Arial" w:cs="Arial"/>
                      <w:sz w:val="22"/>
                      <w:szCs w:val="22"/>
                    </w:rPr>
                  </w:pPr>
                  <w:r>
                    <w:rPr>
                      <w:rFonts w:ascii="Arial" w:hAnsi="Arial" w:cs="Arial"/>
                      <w:sz w:val="22"/>
                      <w:szCs w:val="22"/>
                    </w:rPr>
                    <w:t>33%</w:t>
                  </w:r>
                </w:p>
              </w:tc>
              <w:tc>
                <w:tcPr>
                  <w:tcW w:w="1205" w:type="dxa"/>
                </w:tcPr>
                <w:p w14:paraId="00AF3DB0" w14:textId="77777777" w:rsidR="00E223B6" w:rsidRPr="00A42FB3" w:rsidRDefault="00E223B6" w:rsidP="00E223B6">
                  <w:pPr>
                    <w:jc w:val="center"/>
                    <w:rPr>
                      <w:rFonts w:ascii="Arial" w:hAnsi="Arial" w:cs="Arial"/>
                      <w:sz w:val="22"/>
                      <w:szCs w:val="22"/>
                    </w:rPr>
                  </w:pPr>
                  <w:r>
                    <w:rPr>
                      <w:rFonts w:ascii="Arial" w:hAnsi="Arial" w:cs="Arial"/>
                      <w:sz w:val="22"/>
                      <w:szCs w:val="22"/>
                    </w:rPr>
                    <w:t>0%</w:t>
                  </w:r>
                </w:p>
              </w:tc>
              <w:tc>
                <w:tcPr>
                  <w:tcW w:w="1205" w:type="dxa"/>
                </w:tcPr>
                <w:p w14:paraId="5DDE37D7" w14:textId="77777777" w:rsidR="00E223B6" w:rsidRPr="00A42FB3" w:rsidRDefault="00E223B6" w:rsidP="00E223B6">
                  <w:pPr>
                    <w:jc w:val="center"/>
                    <w:rPr>
                      <w:rFonts w:ascii="Arial" w:hAnsi="Arial" w:cs="Arial"/>
                      <w:sz w:val="22"/>
                      <w:szCs w:val="22"/>
                    </w:rPr>
                  </w:pPr>
                  <w:r>
                    <w:rPr>
                      <w:rFonts w:ascii="Arial" w:hAnsi="Arial" w:cs="Arial"/>
                      <w:sz w:val="22"/>
                      <w:szCs w:val="22"/>
                    </w:rPr>
                    <w:t>56%</w:t>
                  </w:r>
                </w:p>
              </w:tc>
              <w:tc>
                <w:tcPr>
                  <w:tcW w:w="1204" w:type="dxa"/>
                </w:tcPr>
                <w:p w14:paraId="31112812" w14:textId="77777777" w:rsidR="00E223B6" w:rsidRPr="00A42FB3" w:rsidRDefault="00E223B6" w:rsidP="00E223B6">
                  <w:pPr>
                    <w:jc w:val="center"/>
                    <w:rPr>
                      <w:rFonts w:ascii="Arial" w:hAnsi="Arial" w:cs="Arial"/>
                      <w:sz w:val="22"/>
                      <w:szCs w:val="22"/>
                    </w:rPr>
                  </w:pPr>
                  <w:r>
                    <w:rPr>
                      <w:rFonts w:ascii="Arial" w:hAnsi="Arial" w:cs="Arial"/>
                      <w:sz w:val="22"/>
                      <w:szCs w:val="22"/>
                    </w:rPr>
                    <w:t>0%</w:t>
                  </w:r>
                </w:p>
              </w:tc>
              <w:tc>
                <w:tcPr>
                  <w:tcW w:w="1205" w:type="dxa"/>
                </w:tcPr>
                <w:p w14:paraId="7A3B0E3B" w14:textId="77777777" w:rsidR="00E223B6" w:rsidRPr="00A42FB3" w:rsidRDefault="00E223B6" w:rsidP="00E223B6">
                  <w:pPr>
                    <w:jc w:val="center"/>
                    <w:rPr>
                      <w:rFonts w:ascii="Arial" w:hAnsi="Arial" w:cs="Arial"/>
                      <w:sz w:val="22"/>
                      <w:szCs w:val="22"/>
                    </w:rPr>
                  </w:pPr>
                  <w:r>
                    <w:rPr>
                      <w:rFonts w:ascii="Arial" w:hAnsi="Arial" w:cs="Arial"/>
                      <w:sz w:val="22"/>
                      <w:szCs w:val="22"/>
                    </w:rPr>
                    <w:t>78%</w:t>
                  </w:r>
                </w:p>
              </w:tc>
              <w:tc>
                <w:tcPr>
                  <w:tcW w:w="1205" w:type="dxa"/>
                </w:tcPr>
                <w:p w14:paraId="469DE984" w14:textId="77777777" w:rsidR="00E223B6" w:rsidRPr="00A42FB3" w:rsidRDefault="00E223B6" w:rsidP="00E223B6">
                  <w:pPr>
                    <w:jc w:val="center"/>
                    <w:rPr>
                      <w:rFonts w:ascii="Arial" w:hAnsi="Arial" w:cs="Arial"/>
                      <w:sz w:val="22"/>
                      <w:szCs w:val="22"/>
                    </w:rPr>
                  </w:pPr>
                  <w:r>
                    <w:rPr>
                      <w:rFonts w:ascii="Arial" w:hAnsi="Arial" w:cs="Arial"/>
                      <w:sz w:val="22"/>
                      <w:szCs w:val="22"/>
                    </w:rPr>
                    <w:t>0%</w:t>
                  </w:r>
                </w:p>
              </w:tc>
            </w:tr>
            <w:tr w:rsidR="00E223B6" w14:paraId="47D2DC9C" w14:textId="77777777" w:rsidTr="00C45E0F">
              <w:tc>
                <w:tcPr>
                  <w:tcW w:w="1555" w:type="dxa"/>
                  <w:shd w:val="clear" w:color="auto" w:fill="EEECE1" w:themeFill="background2"/>
                </w:tcPr>
                <w:p w14:paraId="2AC1B8DF" w14:textId="77777777" w:rsidR="00E223B6" w:rsidRPr="00B00321" w:rsidRDefault="00E223B6" w:rsidP="00E223B6">
                  <w:pPr>
                    <w:rPr>
                      <w:rFonts w:ascii="Arial" w:hAnsi="Arial" w:cs="Arial"/>
                      <w:sz w:val="22"/>
                      <w:szCs w:val="22"/>
                    </w:rPr>
                  </w:pPr>
                  <w:r w:rsidRPr="00B00321">
                    <w:rPr>
                      <w:rFonts w:ascii="Arial" w:hAnsi="Arial" w:cs="Arial"/>
                      <w:sz w:val="22"/>
                      <w:szCs w:val="22"/>
                    </w:rPr>
                    <w:t>Year 2</w:t>
                  </w:r>
                  <w:r>
                    <w:rPr>
                      <w:rFonts w:ascii="Arial" w:hAnsi="Arial" w:cs="Arial"/>
                      <w:sz w:val="22"/>
                      <w:szCs w:val="22"/>
                    </w:rPr>
                    <w:t xml:space="preserve"> </w:t>
                  </w:r>
                </w:p>
              </w:tc>
              <w:tc>
                <w:tcPr>
                  <w:tcW w:w="1204" w:type="dxa"/>
                  <w:shd w:val="clear" w:color="auto" w:fill="EEECE1" w:themeFill="background2"/>
                </w:tcPr>
                <w:p w14:paraId="64DDFCA1" w14:textId="77777777" w:rsidR="00E223B6" w:rsidRPr="00A42FB3" w:rsidRDefault="00E223B6" w:rsidP="00E223B6">
                  <w:pPr>
                    <w:jc w:val="center"/>
                    <w:rPr>
                      <w:rFonts w:ascii="Arial" w:hAnsi="Arial" w:cs="Arial"/>
                      <w:sz w:val="22"/>
                      <w:szCs w:val="22"/>
                    </w:rPr>
                  </w:pPr>
                  <w:r>
                    <w:rPr>
                      <w:rFonts w:ascii="Arial" w:hAnsi="Arial" w:cs="Arial"/>
                      <w:sz w:val="22"/>
                      <w:szCs w:val="22"/>
                    </w:rPr>
                    <w:t>83%</w:t>
                  </w:r>
                </w:p>
              </w:tc>
              <w:tc>
                <w:tcPr>
                  <w:tcW w:w="1205" w:type="dxa"/>
                  <w:shd w:val="clear" w:color="auto" w:fill="EEECE1" w:themeFill="background2"/>
                </w:tcPr>
                <w:p w14:paraId="3331A07A" w14:textId="77777777" w:rsidR="00E223B6" w:rsidRPr="00A42FB3" w:rsidRDefault="00E223B6" w:rsidP="00E223B6">
                  <w:pPr>
                    <w:jc w:val="center"/>
                    <w:rPr>
                      <w:rFonts w:ascii="Arial" w:hAnsi="Arial" w:cs="Arial"/>
                      <w:sz w:val="22"/>
                      <w:szCs w:val="22"/>
                    </w:rPr>
                  </w:pPr>
                  <w:r>
                    <w:rPr>
                      <w:rFonts w:ascii="Arial" w:hAnsi="Arial" w:cs="Arial"/>
                      <w:sz w:val="22"/>
                      <w:szCs w:val="22"/>
                    </w:rPr>
                    <w:t>67%</w:t>
                  </w:r>
                </w:p>
              </w:tc>
              <w:tc>
                <w:tcPr>
                  <w:tcW w:w="1205" w:type="dxa"/>
                  <w:shd w:val="clear" w:color="auto" w:fill="EEECE1" w:themeFill="background2"/>
                </w:tcPr>
                <w:p w14:paraId="11E6490E" w14:textId="77777777" w:rsidR="00E223B6" w:rsidRPr="00A42FB3" w:rsidRDefault="00E223B6" w:rsidP="00E223B6">
                  <w:pPr>
                    <w:jc w:val="center"/>
                    <w:rPr>
                      <w:rFonts w:ascii="Arial" w:hAnsi="Arial" w:cs="Arial"/>
                      <w:sz w:val="22"/>
                      <w:szCs w:val="22"/>
                    </w:rPr>
                  </w:pPr>
                  <w:r>
                    <w:rPr>
                      <w:rFonts w:ascii="Arial" w:hAnsi="Arial" w:cs="Arial"/>
                      <w:sz w:val="22"/>
                      <w:szCs w:val="22"/>
                    </w:rPr>
                    <w:t>72%</w:t>
                  </w:r>
                </w:p>
              </w:tc>
              <w:tc>
                <w:tcPr>
                  <w:tcW w:w="1205" w:type="dxa"/>
                  <w:shd w:val="clear" w:color="auto" w:fill="EEECE1" w:themeFill="background2"/>
                </w:tcPr>
                <w:p w14:paraId="4A8D64AB" w14:textId="77777777" w:rsidR="00E223B6" w:rsidRPr="00A42FB3" w:rsidRDefault="00E223B6" w:rsidP="00E223B6">
                  <w:pPr>
                    <w:jc w:val="center"/>
                    <w:rPr>
                      <w:rFonts w:ascii="Arial" w:hAnsi="Arial" w:cs="Arial"/>
                      <w:sz w:val="22"/>
                      <w:szCs w:val="22"/>
                    </w:rPr>
                  </w:pPr>
                  <w:r>
                    <w:rPr>
                      <w:rFonts w:ascii="Arial" w:hAnsi="Arial" w:cs="Arial"/>
                      <w:sz w:val="22"/>
                      <w:szCs w:val="22"/>
                    </w:rPr>
                    <w:t>33%</w:t>
                  </w:r>
                </w:p>
              </w:tc>
              <w:tc>
                <w:tcPr>
                  <w:tcW w:w="1205" w:type="dxa"/>
                  <w:shd w:val="clear" w:color="auto" w:fill="EEECE1" w:themeFill="background2"/>
                </w:tcPr>
                <w:p w14:paraId="2D5BD202" w14:textId="77777777" w:rsidR="00E223B6" w:rsidRPr="00A42FB3" w:rsidRDefault="00E223B6" w:rsidP="00E223B6">
                  <w:pPr>
                    <w:jc w:val="center"/>
                    <w:rPr>
                      <w:rFonts w:ascii="Arial" w:hAnsi="Arial" w:cs="Arial"/>
                      <w:sz w:val="22"/>
                      <w:szCs w:val="22"/>
                    </w:rPr>
                  </w:pPr>
                  <w:r>
                    <w:rPr>
                      <w:rFonts w:ascii="Arial" w:hAnsi="Arial" w:cs="Arial"/>
                      <w:sz w:val="22"/>
                      <w:szCs w:val="22"/>
                    </w:rPr>
                    <w:t>67%</w:t>
                  </w:r>
                </w:p>
              </w:tc>
              <w:tc>
                <w:tcPr>
                  <w:tcW w:w="1204" w:type="dxa"/>
                  <w:shd w:val="clear" w:color="auto" w:fill="EEECE1" w:themeFill="background2"/>
                </w:tcPr>
                <w:p w14:paraId="3694610E" w14:textId="77777777" w:rsidR="00E223B6" w:rsidRPr="00A42FB3" w:rsidRDefault="00E223B6" w:rsidP="00E223B6">
                  <w:pPr>
                    <w:jc w:val="center"/>
                    <w:rPr>
                      <w:rFonts w:ascii="Arial" w:hAnsi="Arial" w:cs="Arial"/>
                      <w:sz w:val="22"/>
                      <w:szCs w:val="22"/>
                    </w:rPr>
                  </w:pPr>
                  <w:r>
                    <w:rPr>
                      <w:rFonts w:ascii="Arial" w:hAnsi="Arial" w:cs="Arial"/>
                      <w:sz w:val="22"/>
                      <w:szCs w:val="22"/>
                    </w:rPr>
                    <w:t>33%</w:t>
                  </w:r>
                </w:p>
              </w:tc>
              <w:tc>
                <w:tcPr>
                  <w:tcW w:w="1205" w:type="dxa"/>
                  <w:shd w:val="clear" w:color="auto" w:fill="EEECE1" w:themeFill="background2"/>
                </w:tcPr>
                <w:p w14:paraId="755C371D" w14:textId="77777777" w:rsidR="00E223B6" w:rsidRPr="00A42FB3" w:rsidRDefault="00E223B6" w:rsidP="00E223B6">
                  <w:pPr>
                    <w:jc w:val="center"/>
                    <w:rPr>
                      <w:rFonts w:ascii="Arial" w:hAnsi="Arial" w:cs="Arial"/>
                      <w:sz w:val="22"/>
                      <w:szCs w:val="22"/>
                    </w:rPr>
                  </w:pPr>
                  <w:r>
                    <w:rPr>
                      <w:rFonts w:ascii="Arial" w:hAnsi="Arial" w:cs="Arial"/>
                      <w:sz w:val="22"/>
                      <w:szCs w:val="22"/>
                    </w:rPr>
                    <w:t>86%</w:t>
                  </w:r>
                </w:p>
              </w:tc>
              <w:tc>
                <w:tcPr>
                  <w:tcW w:w="1205" w:type="dxa"/>
                  <w:shd w:val="clear" w:color="auto" w:fill="EEECE1" w:themeFill="background2"/>
                </w:tcPr>
                <w:p w14:paraId="6DBB5C5A" w14:textId="77777777" w:rsidR="00E223B6" w:rsidRPr="00A42FB3" w:rsidRDefault="00E223B6" w:rsidP="00E223B6">
                  <w:pPr>
                    <w:jc w:val="center"/>
                    <w:rPr>
                      <w:rFonts w:ascii="Arial" w:hAnsi="Arial" w:cs="Arial"/>
                      <w:sz w:val="22"/>
                      <w:szCs w:val="22"/>
                    </w:rPr>
                  </w:pPr>
                  <w:r>
                    <w:rPr>
                      <w:rFonts w:ascii="Arial" w:hAnsi="Arial" w:cs="Arial"/>
                      <w:sz w:val="22"/>
                      <w:szCs w:val="22"/>
                    </w:rPr>
                    <w:t>38%</w:t>
                  </w:r>
                </w:p>
              </w:tc>
            </w:tr>
            <w:tr w:rsidR="00E223B6" w14:paraId="4CADC2F0" w14:textId="77777777" w:rsidTr="00C45E0F">
              <w:tc>
                <w:tcPr>
                  <w:tcW w:w="1555" w:type="dxa"/>
                </w:tcPr>
                <w:p w14:paraId="7F662682" w14:textId="77777777" w:rsidR="00E223B6" w:rsidRPr="00B00321" w:rsidRDefault="00E223B6" w:rsidP="00E223B6">
                  <w:pPr>
                    <w:rPr>
                      <w:rFonts w:ascii="Arial" w:hAnsi="Arial" w:cs="Arial"/>
                      <w:sz w:val="22"/>
                      <w:szCs w:val="22"/>
                    </w:rPr>
                  </w:pPr>
                  <w:r w:rsidRPr="00B00321">
                    <w:rPr>
                      <w:rFonts w:ascii="Arial" w:hAnsi="Arial" w:cs="Arial"/>
                      <w:sz w:val="22"/>
                      <w:szCs w:val="22"/>
                    </w:rPr>
                    <w:t>Year 3</w:t>
                  </w:r>
                  <w:r>
                    <w:rPr>
                      <w:rFonts w:ascii="Arial" w:hAnsi="Arial" w:cs="Arial"/>
                      <w:sz w:val="22"/>
                      <w:szCs w:val="22"/>
                    </w:rPr>
                    <w:t xml:space="preserve"> </w:t>
                  </w:r>
                </w:p>
              </w:tc>
              <w:tc>
                <w:tcPr>
                  <w:tcW w:w="1204" w:type="dxa"/>
                </w:tcPr>
                <w:p w14:paraId="0CE04144" w14:textId="77777777" w:rsidR="00E223B6" w:rsidRPr="00A42FB3" w:rsidRDefault="00E223B6" w:rsidP="00E223B6">
                  <w:pPr>
                    <w:jc w:val="center"/>
                    <w:rPr>
                      <w:rFonts w:ascii="Arial" w:hAnsi="Arial" w:cs="Arial"/>
                      <w:sz w:val="22"/>
                      <w:szCs w:val="22"/>
                    </w:rPr>
                  </w:pPr>
                  <w:r>
                    <w:rPr>
                      <w:rFonts w:ascii="Arial" w:hAnsi="Arial" w:cs="Arial"/>
                      <w:sz w:val="22"/>
                      <w:szCs w:val="22"/>
                    </w:rPr>
                    <w:t>50%</w:t>
                  </w:r>
                </w:p>
              </w:tc>
              <w:tc>
                <w:tcPr>
                  <w:tcW w:w="1205" w:type="dxa"/>
                </w:tcPr>
                <w:p w14:paraId="123480E2" w14:textId="77777777" w:rsidR="00E223B6" w:rsidRPr="00A42FB3" w:rsidRDefault="00E223B6" w:rsidP="00E223B6">
                  <w:pPr>
                    <w:jc w:val="center"/>
                    <w:rPr>
                      <w:rFonts w:ascii="Arial" w:hAnsi="Arial" w:cs="Arial"/>
                      <w:sz w:val="22"/>
                      <w:szCs w:val="22"/>
                    </w:rPr>
                  </w:pPr>
                  <w:r>
                    <w:rPr>
                      <w:rFonts w:ascii="Arial" w:hAnsi="Arial" w:cs="Arial"/>
                      <w:sz w:val="22"/>
                      <w:szCs w:val="22"/>
                    </w:rPr>
                    <w:t>25%</w:t>
                  </w:r>
                </w:p>
              </w:tc>
              <w:tc>
                <w:tcPr>
                  <w:tcW w:w="1205" w:type="dxa"/>
                </w:tcPr>
                <w:p w14:paraId="034113E7" w14:textId="77777777" w:rsidR="00E223B6" w:rsidRPr="00A42FB3" w:rsidRDefault="00E223B6" w:rsidP="00E223B6">
                  <w:pPr>
                    <w:jc w:val="center"/>
                    <w:rPr>
                      <w:rFonts w:ascii="Arial" w:hAnsi="Arial" w:cs="Arial"/>
                      <w:sz w:val="22"/>
                      <w:szCs w:val="22"/>
                    </w:rPr>
                  </w:pPr>
                  <w:r>
                    <w:rPr>
                      <w:rFonts w:ascii="Arial" w:hAnsi="Arial" w:cs="Arial"/>
                      <w:sz w:val="22"/>
                      <w:szCs w:val="22"/>
                    </w:rPr>
                    <w:t>50%</w:t>
                  </w:r>
                </w:p>
              </w:tc>
              <w:tc>
                <w:tcPr>
                  <w:tcW w:w="1205" w:type="dxa"/>
                </w:tcPr>
                <w:p w14:paraId="72A5486D" w14:textId="77777777" w:rsidR="00E223B6" w:rsidRPr="00A42FB3" w:rsidRDefault="00E223B6" w:rsidP="00E223B6">
                  <w:pPr>
                    <w:jc w:val="center"/>
                    <w:rPr>
                      <w:rFonts w:ascii="Arial" w:hAnsi="Arial" w:cs="Arial"/>
                      <w:sz w:val="22"/>
                      <w:szCs w:val="22"/>
                    </w:rPr>
                  </w:pPr>
                  <w:r>
                    <w:rPr>
                      <w:rFonts w:ascii="Arial" w:hAnsi="Arial" w:cs="Arial"/>
                      <w:sz w:val="22"/>
                      <w:szCs w:val="22"/>
                    </w:rPr>
                    <w:t>35%</w:t>
                  </w:r>
                </w:p>
              </w:tc>
              <w:tc>
                <w:tcPr>
                  <w:tcW w:w="1205" w:type="dxa"/>
                </w:tcPr>
                <w:p w14:paraId="49D870B1" w14:textId="77777777" w:rsidR="00E223B6" w:rsidRPr="00A42FB3" w:rsidRDefault="00E223B6" w:rsidP="00E223B6">
                  <w:pPr>
                    <w:jc w:val="center"/>
                    <w:rPr>
                      <w:rFonts w:ascii="Arial" w:hAnsi="Arial" w:cs="Arial"/>
                      <w:sz w:val="22"/>
                      <w:szCs w:val="22"/>
                    </w:rPr>
                  </w:pPr>
                  <w:r>
                    <w:rPr>
                      <w:rFonts w:ascii="Arial" w:hAnsi="Arial" w:cs="Arial"/>
                      <w:sz w:val="22"/>
                      <w:szCs w:val="22"/>
                    </w:rPr>
                    <w:t>50%</w:t>
                  </w:r>
                </w:p>
              </w:tc>
              <w:tc>
                <w:tcPr>
                  <w:tcW w:w="1204" w:type="dxa"/>
                </w:tcPr>
                <w:p w14:paraId="0F6800DC" w14:textId="77777777" w:rsidR="00E223B6" w:rsidRPr="00A42FB3" w:rsidRDefault="00E223B6" w:rsidP="00E223B6">
                  <w:pPr>
                    <w:jc w:val="center"/>
                    <w:rPr>
                      <w:rFonts w:ascii="Arial" w:hAnsi="Arial" w:cs="Arial"/>
                      <w:sz w:val="22"/>
                      <w:szCs w:val="22"/>
                    </w:rPr>
                  </w:pPr>
                  <w:r>
                    <w:rPr>
                      <w:rFonts w:ascii="Arial" w:hAnsi="Arial" w:cs="Arial"/>
                      <w:sz w:val="22"/>
                      <w:szCs w:val="22"/>
                    </w:rPr>
                    <w:t>25%</w:t>
                  </w:r>
                </w:p>
              </w:tc>
              <w:tc>
                <w:tcPr>
                  <w:tcW w:w="1205" w:type="dxa"/>
                </w:tcPr>
                <w:p w14:paraId="23F5A122" w14:textId="77777777" w:rsidR="00E223B6" w:rsidRPr="00A42FB3" w:rsidRDefault="00E223B6" w:rsidP="00E223B6">
                  <w:pPr>
                    <w:jc w:val="center"/>
                    <w:rPr>
                      <w:rFonts w:ascii="Arial" w:hAnsi="Arial" w:cs="Arial"/>
                      <w:sz w:val="22"/>
                      <w:szCs w:val="22"/>
                    </w:rPr>
                  </w:pPr>
                  <w:r>
                    <w:rPr>
                      <w:rFonts w:ascii="Arial" w:hAnsi="Arial" w:cs="Arial"/>
                      <w:sz w:val="22"/>
                      <w:szCs w:val="22"/>
                    </w:rPr>
                    <w:t>50%</w:t>
                  </w:r>
                </w:p>
              </w:tc>
              <w:tc>
                <w:tcPr>
                  <w:tcW w:w="1205" w:type="dxa"/>
                </w:tcPr>
                <w:p w14:paraId="21336B72" w14:textId="77777777" w:rsidR="00E223B6" w:rsidRPr="00A42FB3" w:rsidRDefault="00E223B6" w:rsidP="00E223B6">
                  <w:pPr>
                    <w:jc w:val="center"/>
                    <w:rPr>
                      <w:rFonts w:ascii="Arial" w:hAnsi="Arial" w:cs="Arial"/>
                      <w:sz w:val="22"/>
                      <w:szCs w:val="22"/>
                    </w:rPr>
                  </w:pPr>
                  <w:r>
                    <w:rPr>
                      <w:rFonts w:ascii="Arial" w:hAnsi="Arial" w:cs="Arial"/>
                      <w:sz w:val="22"/>
                      <w:szCs w:val="22"/>
                    </w:rPr>
                    <w:t>0%</w:t>
                  </w:r>
                </w:p>
              </w:tc>
            </w:tr>
            <w:tr w:rsidR="00E223B6" w14:paraId="176426EE" w14:textId="77777777" w:rsidTr="00C45E0F">
              <w:tc>
                <w:tcPr>
                  <w:tcW w:w="1555" w:type="dxa"/>
                </w:tcPr>
                <w:p w14:paraId="411C58D0" w14:textId="77777777" w:rsidR="00E223B6" w:rsidRPr="00B00321" w:rsidRDefault="00E223B6" w:rsidP="00E223B6">
                  <w:pPr>
                    <w:rPr>
                      <w:rFonts w:ascii="Arial" w:hAnsi="Arial" w:cs="Arial"/>
                      <w:sz w:val="22"/>
                      <w:szCs w:val="22"/>
                    </w:rPr>
                  </w:pPr>
                  <w:r w:rsidRPr="00B00321">
                    <w:rPr>
                      <w:rFonts w:ascii="Arial" w:hAnsi="Arial" w:cs="Arial"/>
                      <w:sz w:val="22"/>
                      <w:szCs w:val="22"/>
                    </w:rPr>
                    <w:t>Year 4</w:t>
                  </w:r>
                  <w:r>
                    <w:rPr>
                      <w:rFonts w:ascii="Arial" w:hAnsi="Arial" w:cs="Arial"/>
                      <w:sz w:val="22"/>
                      <w:szCs w:val="22"/>
                    </w:rPr>
                    <w:t xml:space="preserve"> </w:t>
                  </w:r>
                </w:p>
              </w:tc>
              <w:tc>
                <w:tcPr>
                  <w:tcW w:w="1204" w:type="dxa"/>
                </w:tcPr>
                <w:p w14:paraId="7788056A" w14:textId="77777777" w:rsidR="00E223B6" w:rsidRPr="00A42FB3" w:rsidRDefault="00E223B6" w:rsidP="00E223B6">
                  <w:pPr>
                    <w:jc w:val="center"/>
                    <w:rPr>
                      <w:rFonts w:ascii="Arial" w:hAnsi="Arial" w:cs="Arial"/>
                      <w:sz w:val="22"/>
                      <w:szCs w:val="22"/>
                    </w:rPr>
                  </w:pPr>
                  <w:r>
                    <w:rPr>
                      <w:rFonts w:ascii="Arial" w:hAnsi="Arial" w:cs="Arial"/>
                      <w:sz w:val="22"/>
                      <w:szCs w:val="22"/>
                    </w:rPr>
                    <w:t>83%</w:t>
                  </w:r>
                </w:p>
              </w:tc>
              <w:tc>
                <w:tcPr>
                  <w:tcW w:w="1205" w:type="dxa"/>
                </w:tcPr>
                <w:p w14:paraId="3844BC41" w14:textId="77777777" w:rsidR="00E223B6" w:rsidRPr="00A42FB3" w:rsidRDefault="00E223B6" w:rsidP="00E223B6">
                  <w:pPr>
                    <w:jc w:val="center"/>
                    <w:rPr>
                      <w:rFonts w:ascii="Arial" w:hAnsi="Arial" w:cs="Arial"/>
                      <w:sz w:val="22"/>
                      <w:szCs w:val="22"/>
                    </w:rPr>
                  </w:pPr>
                  <w:r>
                    <w:rPr>
                      <w:rFonts w:ascii="Arial" w:hAnsi="Arial" w:cs="Arial"/>
                      <w:sz w:val="22"/>
                      <w:szCs w:val="22"/>
                    </w:rPr>
                    <w:t>33%</w:t>
                  </w:r>
                </w:p>
              </w:tc>
              <w:tc>
                <w:tcPr>
                  <w:tcW w:w="1205" w:type="dxa"/>
                </w:tcPr>
                <w:p w14:paraId="3FF6D01F" w14:textId="77777777" w:rsidR="00E223B6" w:rsidRPr="00A42FB3" w:rsidRDefault="00E223B6" w:rsidP="00E223B6">
                  <w:pPr>
                    <w:jc w:val="center"/>
                    <w:rPr>
                      <w:rFonts w:ascii="Arial" w:hAnsi="Arial" w:cs="Arial"/>
                      <w:sz w:val="22"/>
                      <w:szCs w:val="22"/>
                    </w:rPr>
                  </w:pPr>
                  <w:r>
                    <w:rPr>
                      <w:rFonts w:ascii="Arial" w:hAnsi="Arial" w:cs="Arial"/>
                      <w:sz w:val="22"/>
                      <w:szCs w:val="22"/>
                    </w:rPr>
                    <w:t>67%</w:t>
                  </w:r>
                </w:p>
              </w:tc>
              <w:tc>
                <w:tcPr>
                  <w:tcW w:w="1205" w:type="dxa"/>
                </w:tcPr>
                <w:p w14:paraId="7A9B0C2D" w14:textId="77777777" w:rsidR="00E223B6" w:rsidRPr="00A42FB3" w:rsidRDefault="00E223B6" w:rsidP="00E223B6">
                  <w:pPr>
                    <w:jc w:val="center"/>
                    <w:rPr>
                      <w:rFonts w:ascii="Arial" w:hAnsi="Arial" w:cs="Arial"/>
                      <w:sz w:val="22"/>
                      <w:szCs w:val="22"/>
                    </w:rPr>
                  </w:pPr>
                  <w:r>
                    <w:rPr>
                      <w:rFonts w:ascii="Arial" w:hAnsi="Arial" w:cs="Arial"/>
                      <w:sz w:val="22"/>
                      <w:szCs w:val="22"/>
                    </w:rPr>
                    <w:t>17%</w:t>
                  </w:r>
                </w:p>
              </w:tc>
              <w:tc>
                <w:tcPr>
                  <w:tcW w:w="1205" w:type="dxa"/>
                </w:tcPr>
                <w:p w14:paraId="292F0F2A" w14:textId="77777777" w:rsidR="00E223B6" w:rsidRPr="00A42FB3" w:rsidRDefault="00E223B6" w:rsidP="00E223B6">
                  <w:pPr>
                    <w:jc w:val="center"/>
                    <w:rPr>
                      <w:rFonts w:ascii="Arial" w:hAnsi="Arial" w:cs="Arial"/>
                      <w:sz w:val="22"/>
                      <w:szCs w:val="22"/>
                    </w:rPr>
                  </w:pPr>
                  <w:r>
                    <w:rPr>
                      <w:rFonts w:ascii="Arial" w:hAnsi="Arial" w:cs="Arial"/>
                      <w:sz w:val="22"/>
                      <w:szCs w:val="22"/>
                    </w:rPr>
                    <w:t>83%</w:t>
                  </w:r>
                </w:p>
              </w:tc>
              <w:tc>
                <w:tcPr>
                  <w:tcW w:w="1204" w:type="dxa"/>
                </w:tcPr>
                <w:p w14:paraId="0D6578A1" w14:textId="77777777" w:rsidR="00E223B6" w:rsidRPr="00A42FB3" w:rsidRDefault="00E223B6" w:rsidP="00E223B6">
                  <w:pPr>
                    <w:jc w:val="center"/>
                    <w:rPr>
                      <w:rFonts w:ascii="Arial" w:hAnsi="Arial" w:cs="Arial"/>
                      <w:sz w:val="22"/>
                      <w:szCs w:val="22"/>
                    </w:rPr>
                  </w:pPr>
                  <w:r>
                    <w:rPr>
                      <w:rFonts w:ascii="Arial" w:hAnsi="Arial" w:cs="Arial"/>
                      <w:sz w:val="22"/>
                      <w:szCs w:val="22"/>
                    </w:rPr>
                    <w:t>17%</w:t>
                  </w:r>
                </w:p>
              </w:tc>
              <w:tc>
                <w:tcPr>
                  <w:tcW w:w="1205" w:type="dxa"/>
                </w:tcPr>
                <w:p w14:paraId="08D17F13" w14:textId="77777777" w:rsidR="00E223B6" w:rsidRPr="00A42FB3" w:rsidRDefault="00E223B6" w:rsidP="00E223B6">
                  <w:pPr>
                    <w:jc w:val="center"/>
                    <w:rPr>
                      <w:rFonts w:ascii="Arial" w:hAnsi="Arial" w:cs="Arial"/>
                      <w:sz w:val="22"/>
                      <w:szCs w:val="22"/>
                    </w:rPr>
                  </w:pPr>
                  <w:r>
                    <w:rPr>
                      <w:rFonts w:ascii="Arial" w:hAnsi="Arial" w:cs="Arial"/>
                      <w:sz w:val="22"/>
                      <w:szCs w:val="22"/>
                    </w:rPr>
                    <w:t>80%</w:t>
                  </w:r>
                </w:p>
              </w:tc>
              <w:tc>
                <w:tcPr>
                  <w:tcW w:w="1205" w:type="dxa"/>
                </w:tcPr>
                <w:p w14:paraId="6804B36C" w14:textId="77777777" w:rsidR="00E223B6" w:rsidRPr="00A42FB3" w:rsidRDefault="00E223B6" w:rsidP="00E223B6">
                  <w:pPr>
                    <w:jc w:val="center"/>
                    <w:rPr>
                      <w:rFonts w:ascii="Arial" w:hAnsi="Arial" w:cs="Arial"/>
                      <w:sz w:val="22"/>
                      <w:szCs w:val="22"/>
                    </w:rPr>
                  </w:pPr>
                  <w:r>
                    <w:rPr>
                      <w:rFonts w:ascii="Arial" w:hAnsi="Arial" w:cs="Arial"/>
                      <w:sz w:val="22"/>
                      <w:szCs w:val="22"/>
                    </w:rPr>
                    <w:t>20%</w:t>
                  </w:r>
                </w:p>
              </w:tc>
            </w:tr>
            <w:tr w:rsidR="00E223B6" w14:paraId="5A845059" w14:textId="77777777" w:rsidTr="007D6BAF">
              <w:trPr>
                <w:trHeight w:val="581"/>
              </w:trPr>
              <w:tc>
                <w:tcPr>
                  <w:tcW w:w="1555" w:type="dxa"/>
                </w:tcPr>
                <w:p w14:paraId="78363320" w14:textId="77777777" w:rsidR="00E223B6" w:rsidRPr="00B00321" w:rsidRDefault="00E223B6" w:rsidP="00E223B6">
                  <w:pPr>
                    <w:rPr>
                      <w:rFonts w:ascii="Arial" w:hAnsi="Arial" w:cs="Arial"/>
                      <w:sz w:val="22"/>
                      <w:szCs w:val="22"/>
                    </w:rPr>
                  </w:pPr>
                  <w:r w:rsidRPr="00B00321">
                    <w:rPr>
                      <w:rFonts w:ascii="Arial" w:hAnsi="Arial" w:cs="Arial"/>
                      <w:sz w:val="22"/>
                      <w:szCs w:val="22"/>
                    </w:rPr>
                    <w:t>Year 5</w:t>
                  </w:r>
                  <w:r>
                    <w:rPr>
                      <w:rFonts w:ascii="Arial" w:hAnsi="Arial" w:cs="Arial"/>
                      <w:sz w:val="22"/>
                      <w:szCs w:val="22"/>
                    </w:rPr>
                    <w:t xml:space="preserve"> </w:t>
                  </w:r>
                </w:p>
              </w:tc>
              <w:tc>
                <w:tcPr>
                  <w:tcW w:w="1204" w:type="dxa"/>
                </w:tcPr>
                <w:p w14:paraId="52545B71" w14:textId="77777777" w:rsidR="00E223B6" w:rsidRPr="00A42FB3" w:rsidRDefault="00E223B6" w:rsidP="00E223B6">
                  <w:pPr>
                    <w:jc w:val="center"/>
                    <w:rPr>
                      <w:rFonts w:ascii="Arial" w:hAnsi="Arial" w:cs="Arial"/>
                      <w:sz w:val="22"/>
                      <w:szCs w:val="22"/>
                    </w:rPr>
                  </w:pPr>
                  <w:r>
                    <w:rPr>
                      <w:rFonts w:ascii="Arial" w:hAnsi="Arial" w:cs="Arial"/>
                      <w:sz w:val="22"/>
                      <w:szCs w:val="22"/>
                    </w:rPr>
                    <w:t>86%</w:t>
                  </w:r>
                </w:p>
              </w:tc>
              <w:tc>
                <w:tcPr>
                  <w:tcW w:w="1205" w:type="dxa"/>
                </w:tcPr>
                <w:p w14:paraId="0944F1F8" w14:textId="77777777" w:rsidR="00E223B6" w:rsidRPr="00A42FB3" w:rsidRDefault="00E223B6" w:rsidP="00E223B6">
                  <w:pPr>
                    <w:jc w:val="center"/>
                    <w:rPr>
                      <w:rFonts w:ascii="Arial" w:hAnsi="Arial" w:cs="Arial"/>
                      <w:sz w:val="22"/>
                      <w:szCs w:val="22"/>
                    </w:rPr>
                  </w:pPr>
                  <w:r>
                    <w:rPr>
                      <w:rFonts w:ascii="Arial" w:hAnsi="Arial" w:cs="Arial"/>
                      <w:sz w:val="22"/>
                      <w:szCs w:val="22"/>
                    </w:rPr>
                    <w:t>14%</w:t>
                  </w:r>
                </w:p>
              </w:tc>
              <w:tc>
                <w:tcPr>
                  <w:tcW w:w="1205" w:type="dxa"/>
                </w:tcPr>
                <w:p w14:paraId="35036A7F" w14:textId="77777777" w:rsidR="00E223B6" w:rsidRPr="00A42FB3" w:rsidRDefault="00E223B6" w:rsidP="00E223B6">
                  <w:pPr>
                    <w:jc w:val="center"/>
                    <w:rPr>
                      <w:rFonts w:ascii="Arial" w:hAnsi="Arial" w:cs="Arial"/>
                      <w:sz w:val="22"/>
                      <w:szCs w:val="22"/>
                    </w:rPr>
                  </w:pPr>
                  <w:r>
                    <w:rPr>
                      <w:rFonts w:ascii="Arial" w:hAnsi="Arial" w:cs="Arial"/>
                      <w:sz w:val="22"/>
                      <w:szCs w:val="22"/>
                    </w:rPr>
                    <w:t>86%</w:t>
                  </w:r>
                </w:p>
              </w:tc>
              <w:tc>
                <w:tcPr>
                  <w:tcW w:w="1205" w:type="dxa"/>
                </w:tcPr>
                <w:p w14:paraId="5F1954D7" w14:textId="77777777" w:rsidR="00E223B6" w:rsidRPr="00A42FB3" w:rsidRDefault="00E223B6" w:rsidP="00E223B6">
                  <w:pPr>
                    <w:jc w:val="center"/>
                    <w:rPr>
                      <w:rFonts w:ascii="Arial" w:hAnsi="Arial" w:cs="Arial"/>
                      <w:sz w:val="22"/>
                      <w:szCs w:val="22"/>
                    </w:rPr>
                  </w:pPr>
                  <w:r>
                    <w:rPr>
                      <w:rFonts w:ascii="Arial" w:hAnsi="Arial" w:cs="Arial"/>
                      <w:sz w:val="22"/>
                      <w:szCs w:val="22"/>
                    </w:rPr>
                    <w:t>14%</w:t>
                  </w:r>
                </w:p>
              </w:tc>
              <w:tc>
                <w:tcPr>
                  <w:tcW w:w="1205" w:type="dxa"/>
                </w:tcPr>
                <w:p w14:paraId="69D8999D" w14:textId="77777777" w:rsidR="00E223B6" w:rsidRPr="00A42FB3" w:rsidRDefault="00E223B6" w:rsidP="00E223B6">
                  <w:pPr>
                    <w:jc w:val="center"/>
                    <w:rPr>
                      <w:rFonts w:ascii="Arial" w:hAnsi="Arial" w:cs="Arial"/>
                      <w:sz w:val="22"/>
                      <w:szCs w:val="22"/>
                    </w:rPr>
                  </w:pPr>
                  <w:r>
                    <w:rPr>
                      <w:rFonts w:ascii="Arial" w:hAnsi="Arial" w:cs="Arial"/>
                      <w:sz w:val="22"/>
                      <w:szCs w:val="22"/>
                    </w:rPr>
                    <w:t>71%</w:t>
                  </w:r>
                </w:p>
              </w:tc>
              <w:tc>
                <w:tcPr>
                  <w:tcW w:w="1204" w:type="dxa"/>
                </w:tcPr>
                <w:p w14:paraId="358A1040" w14:textId="77777777" w:rsidR="00E223B6" w:rsidRPr="00A42FB3" w:rsidRDefault="00E223B6" w:rsidP="00E223B6">
                  <w:pPr>
                    <w:jc w:val="center"/>
                    <w:rPr>
                      <w:rFonts w:ascii="Arial" w:hAnsi="Arial" w:cs="Arial"/>
                      <w:sz w:val="22"/>
                      <w:szCs w:val="22"/>
                    </w:rPr>
                  </w:pPr>
                  <w:r>
                    <w:rPr>
                      <w:rFonts w:ascii="Arial" w:hAnsi="Arial" w:cs="Arial"/>
                      <w:sz w:val="22"/>
                      <w:szCs w:val="22"/>
                    </w:rPr>
                    <w:t>14%</w:t>
                  </w:r>
                </w:p>
              </w:tc>
              <w:tc>
                <w:tcPr>
                  <w:tcW w:w="1205" w:type="dxa"/>
                </w:tcPr>
                <w:p w14:paraId="0C9E3687" w14:textId="77777777" w:rsidR="00E223B6" w:rsidRPr="00A42FB3" w:rsidRDefault="00E223B6" w:rsidP="00E223B6">
                  <w:pPr>
                    <w:jc w:val="center"/>
                    <w:rPr>
                      <w:rFonts w:ascii="Arial" w:hAnsi="Arial" w:cs="Arial"/>
                      <w:sz w:val="22"/>
                      <w:szCs w:val="22"/>
                    </w:rPr>
                  </w:pPr>
                  <w:r>
                    <w:rPr>
                      <w:rFonts w:ascii="Arial" w:hAnsi="Arial" w:cs="Arial"/>
                      <w:sz w:val="22"/>
                      <w:szCs w:val="22"/>
                    </w:rPr>
                    <w:t>66%</w:t>
                  </w:r>
                </w:p>
              </w:tc>
              <w:tc>
                <w:tcPr>
                  <w:tcW w:w="1205" w:type="dxa"/>
                </w:tcPr>
                <w:p w14:paraId="2C9E9344" w14:textId="77777777" w:rsidR="00E223B6" w:rsidRPr="00A42FB3" w:rsidRDefault="00E223B6" w:rsidP="00E223B6">
                  <w:pPr>
                    <w:jc w:val="center"/>
                    <w:rPr>
                      <w:rFonts w:ascii="Arial" w:hAnsi="Arial" w:cs="Arial"/>
                      <w:sz w:val="22"/>
                      <w:szCs w:val="22"/>
                    </w:rPr>
                  </w:pPr>
                  <w:r>
                    <w:rPr>
                      <w:rFonts w:ascii="Arial" w:hAnsi="Arial" w:cs="Arial"/>
                      <w:sz w:val="22"/>
                      <w:szCs w:val="22"/>
                    </w:rPr>
                    <w:t>16%</w:t>
                  </w:r>
                </w:p>
              </w:tc>
            </w:tr>
          </w:tbl>
          <w:p w14:paraId="2A7D5546" w14:textId="5A626CD6" w:rsidR="00E66558" w:rsidRDefault="00E66558"/>
        </w:tc>
      </w:tr>
      <w:tr w:rsidR="007D6BAF" w14:paraId="37DE6F10" w14:textId="77777777" w:rsidTr="007D6BAF">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60C2" w14:textId="73FCF73E" w:rsidR="007D6BAF" w:rsidRDefault="003875EF" w:rsidP="007D6BAF">
            <w:pPr>
              <w:autoSpaceDE w:val="0"/>
              <w:adjustRightInd w:val="0"/>
              <w:rPr>
                <w:rFonts w:cs="Arial"/>
                <w:b/>
                <w:bCs/>
                <w:color w:val="000000"/>
                <w:u w:val="single"/>
              </w:rPr>
            </w:pPr>
            <w:r>
              <w:rPr>
                <w:rFonts w:cs="Arial"/>
                <w:b/>
                <w:bCs/>
                <w:color w:val="000000"/>
                <w:u w:val="single"/>
              </w:rPr>
              <w:t xml:space="preserve">Other </w:t>
            </w:r>
            <w:r w:rsidR="007D6BAF" w:rsidRPr="007D6BAF">
              <w:rPr>
                <w:rFonts w:cs="Arial"/>
                <w:b/>
                <w:bCs/>
                <w:color w:val="000000"/>
                <w:u w:val="single"/>
              </w:rPr>
              <w:t>Focused areas from last year</w:t>
            </w:r>
            <w:r w:rsidR="00F26518">
              <w:rPr>
                <w:rFonts w:cs="Arial"/>
                <w:b/>
                <w:bCs/>
                <w:color w:val="000000"/>
                <w:u w:val="single"/>
              </w:rPr>
              <w:t>-</w:t>
            </w:r>
          </w:p>
          <w:p w14:paraId="486A8404" w14:textId="1B354D3E" w:rsidR="003875EF" w:rsidRPr="003875EF" w:rsidRDefault="003875EF" w:rsidP="007D6BAF">
            <w:pPr>
              <w:autoSpaceDE w:val="0"/>
              <w:adjustRightInd w:val="0"/>
              <w:rPr>
                <w:rFonts w:cs="Arial"/>
                <w:b/>
                <w:bCs/>
                <w:color w:val="000000"/>
              </w:rPr>
            </w:pPr>
            <w:r w:rsidRPr="003875EF">
              <w:rPr>
                <w:rFonts w:cs="Arial"/>
                <w:b/>
                <w:bCs/>
                <w:color w:val="000000"/>
              </w:rPr>
              <w:t>Mentoring Scheme:</w:t>
            </w:r>
          </w:p>
          <w:p w14:paraId="66E0F8B8" w14:textId="3D1441E8" w:rsidR="003875EF" w:rsidRPr="003875EF" w:rsidRDefault="003875EF" w:rsidP="007D6BAF">
            <w:pPr>
              <w:autoSpaceDE w:val="0"/>
              <w:adjustRightInd w:val="0"/>
              <w:rPr>
                <w:rFonts w:cs="Arial"/>
                <w:bCs/>
                <w:color w:val="000000"/>
              </w:rPr>
            </w:pPr>
            <w:r w:rsidRPr="00A31846">
              <w:rPr>
                <w:rFonts w:cs="Arial"/>
                <w:bCs/>
                <w:color w:val="000000"/>
              </w:rPr>
              <w:t xml:space="preserve">Additional teaching and learning opportunities provided through learning mentors.  </w:t>
            </w:r>
            <w:r>
              <w:rPr>
                <w:rFonts w:cs="Arial"/>
                <w:bCs/>
                <w:color w:val="000000"/>
              </w:rPr>
              <w:t>Due to COVID restrictions pupils were assigned a mentor teacher who was in their ‘bubble’. This led to i</w:t>
            </w:r>
            <w:r w:rsidRPr="00A31846">
              <w:rPr>
                <w:rFonts w:cs="Arial"/>
                <w:bCs/>
                <w:color w:val="000000"/>
              </w:rPr>
              <w:t>ncreased confidence, motivation and growth mind-set.</w:t>
            </w:r>
            <w:r>
              <w:rPr>
                <w:rFonts w:cs="Arial"/>
                <w:bCs/>
                <w:color w:val="000000"/>
              </w:rPr>
              <w:t xml:space="preserve"> </w:t>
            </w:r>
          </w:p>
          <w:p w14:paraId="433C3533" w14:textId="437DA48D" w:rsidR="007D6BAF" w:rsidRPr="007D6BAF" w:rsidRDefault="007D6BAF" w:rsidP="007D6BAF">
            <w:pPr>
              <w:autoSpaceDE w:val="0"/>
              <w:adjustRightInd w:val="0"/>
              <w:rPr>
                <w:rFonts w:cs="Arial"/>
                <w:b/>
                <w:bCs/>
                <w:color w:val="000000"/>
              </w:rPr>
            </w:pPr>
            <w:r w:rsidRPr="007D6BAF">
              <w:rPr>
                <w:rFonts w:cs="Arial"/>
                <w:b/>
                <w:bCs/>
                <w:color w:val="000000"/>
              </w:rPr>
              <w:t>Reading</w:t>
            </w:r>
            <w:r w:rsidR="00F26518">
              <w:rPr>
                <w:rFonts w:cs="Arial"/>
                <w:b/>
                <w:bCs/>
                <w:color w:val="000000"/>
              </w:rPr>
              <w:t xml:space="preserve"> Interventions/ Purchase of books</w:t>
            </w:r>
            <w:r w:rsidRPr="007D6BAF">
              <w:rPr>
                <w:rFonts w:cs="Arial"/>
                <w:b/>
                <w:bCs/>
                <w:color w:val="000000"/>
              </w:rPr>
              <w:t xml:space="preserve">: </w:t>
            </w:r>
          </w:p>
          <w:p w14:paraId="6159C662" w14:textId="04FE26F2" w:rsidR="007D6BAF" w:rsidRDefault="007D6BAF" w:rsidP="007D6BAF">
            <w:pPr>
              <w:autoSpaceDE w:val="0"/>
              <w:adjustRightInd w:val="0"/>
              <w:rPr>
                <w:rFonts w:cs="Arial"/>
                <w:bCs/>
                <w:color w:val="000000"/>
              </w:rPr>
            </w:pPr>
            <w:r w:rsidRPr="00A31846">
              <w:rPr>
                <w:rFonts w:cs="Arial"/>
                <w:bCs/>
                <w:color w:val="000000"/>
              </w:rPr>
              <w:t xml:space="preserve">Improved </w:t>
            </w:r>
            <w:r>
              <w:rPr>
                <w:rFonts w:cs="Arial"/>
                <w:bCs/>
                <w:color w:val="000000"/>
              </w:rPr>
              <w:t xml:space="preserve">reading </w:t>
            </w:r>
            <w:r w:rsidR="003875EF">
              <w:rPr>
                <w:rFonts w:cs="Arial"/>
                <w:bCs/>
                <w:color w:val="000000"/>
              </w:rPr>
              <w:t xml:space="preserve">data </w:t>
            </w:r>
            <w:r>
              <w:rPr>
                <w:rFonts w:cs="Arial"/>
                <w:bCs/>
                <w:color w:val="000000"/>
              </w:rPr>
              <w:t xml:space="preserve">and pleasure of reading. LSA’s completed a reading baseline which they compared to the beginning of the programme to the end.  All pupils who participated in the reading interventions had an improvement in their baseline data. </w:t>
            </w:r>
          </w:p>
          <w:p w14:paraId="04FBCB10" w14:textId="6A91181A" w:rsidR="007D6BAF" w:rsidRPr="007D6BAF" w:rsidRDefault="007D6BAF" w:rsidP="007D6BAF">
            <w:pPr>
              <w:autoSpaceDE w:val="0"/>
              <w:adjustRightInd w:val="0"/>
              <w:rPr>
                <w:rFonts w:cs="Arial"/>
                <w:b/>
                <w:bCs/>
                <w:color w:val="000000"/>
              </w:rPr>
            </w:pPr>
            <w:r w:rsidRPr="007D6BAF">
              <w:rPr>
                <w:rFonts w:cs="Arial"/>
                <w:b/>
                <w:bCs/>
                <w:color w:val="000000"/>
              </w:rPr>
              <w:t>Attendance:</w:t>
            </w:r>
          </w:p>
          <w:p w14:paraId="3D1D1E92" w14:textId="2752FF31" w:rsidR="007D6BAF" w:rsidRDefault="007D6BAF" w:rsidP="007D6BAF">
            <w:pPr>
              <w:autoSpaceDE w:val="0"/>
              <w:adjustRightInd w:val="0"/>
              <w:rPr>
                <w:rFonts w:cs="Arial"/>
                <w:bCs/>
                <w:color w:val="000000"/>
              </w:rPr>
            </w:pPr>
            <w:r w:rsidRPr="00A31846">
              <w:rPr>
                <w:rFonts w:cs="Arial"/>
                <w:bCs/>
                <w:color w:val="000000"/>
              </w:rPr>
              <w:t>Attendance of disadvantaged pupils is broadly in line with all pupils</w:t>
            </w:r>
          </w:p>
          <w:p w14:paraId="3614D5B1" w14:textId="45A477B4" w:rsidR="007D6BAF" w:rsidRPr="00F26518" w:rsidRDefault="00F26518" w:rsidP="007D6BAF">
            <w:pPr>
              <w:autoSpaceDE w:val="0"/>
              <w:adjustRightInd w:val="0"/>
              <w:rPr>
                <w:rFonts w:cs="Arial"/>
                <w:b/>
                <w:bCs/>
                <w:color w:val="000000"/>
              </w:rPr>
            </w:pPr>
            <w:r>
              <w:rPr>
                <w:rFonts w:cs="Arial"/>
                <w:b/>
                <w:bCs/>
                <w:color w:val="000000"/>
              </w:rPr>
              <w:t xml:space="preserve">Extra- Curricular </w:t>
            </w:r>
            <w:r w:rsidRPr="00F26518">
              <w:rPr>
                <w:rFonts w:cs="Arial"/>
                <w:b/>
                <w:bCs/>
                <w:color w:val="000000"/>
              </w:rPr>
              <w:t>Clubs</w:t>
            </w:r>
            <w:r>
              <w:rPr>
                <w:rFonts w:cs="Arial"/>
                <w:b/>
                <w:bCs/>
                <w:color w:val="000000"/>
              </w:rPr>
              <w:t>/ Breakfast Club</w:t>
            </w:r>
            <w:r w:rsidRPr="00F26518">
              <w:rPr>
                <w:rFonts w:cs="Arial"/>
                <w:b/>
                <w:bCs/>
                <w:color w:val="000000"/>
              </w:rPr>
              <w:t>:</w:t>
            </w:r>
          </w:p>
          <w:p w14:paraId="34CBD4C7" w14:textId="5BB3F330" w:rsidR="00F26518" w:rsidRDefault="00F26518" w:rsidP="00F26518">
            <w:pPr>
              <w:autoSpaceDE w:val="0"/>
              <w:adjustRightInd w:val="0"/>
              <w:rPr>
                <w:rFonts w:cs="Arial"/>
                <w:bCs/>
                <w:color w:val="000000"/>
              </w:rPr>
            </w:pPr>
            <w:r w:rsidRPr="00A31846">
              <w:rPr>
                <w:rFonts w:cs="Arial"/>
                <w:bCs/>
                <w:color w:val="000000"/>
              </w:rPr>
              <w:t>Promote</w:t>
            </w:r>
            <w:r>
              <w:rPr>
                <w:rFonts w:cs="Arial"/>
                <w:bCs/>
                <w:color w:val="000000"/>
              </w:rPr>
              <w:t>d</w:t>
            </w:r>
            <w:r w:rsidRPr="00A31846">
              <w:rPr>
                <w:rFonts w:cs="Arial"/>
                <w:bCs/>
                <w:color w:val="000000"/>
              </w:rPr>
              <w:t xml:space="preserve"> healthy lifestyle for disadvantaged pupils through exercise. Provide</w:t>
            </w:r>
            <w:r>
              <w:rPr>
                <w:rFonts w:cs="Arial"/>
                <w:bCs/>
                <w:color w:val="000000"/>
              </w:rPr>
              <w:t>d</w:t>
            </w:r>
            <w:r w:rsidRPr="00A31846">
              <w:rPr>
                <w:rFonts w:cs="Arial"/>
                <w:bCs/>
                <w:color w:val="000000"/>
              </w:rPr>
              <w:t xml:space="preserve"> a range of opportunities and equal access for disadvantaged pupils to attend an after school club</w:t>
            </w:r>
            <w:r>
              <w:rPr>
                <w:rFonts w:cs="Arial"/>
                <w:bCs/>
                <w:color w:val="000000"/>
              </w:rPr>
              <w:t>/ breakfast club- limited due to Covid (Autumn Term only).</w:t>
            </w:r>
          </w:p>
          <w:p w14:paraId="1416F1A0" w14:textId="53817ADB" w:rsidR="00F26518" w:rsidRDefault="00F26518" w:rsidP="00F26518">
            <w:pPr>
              <w:autoSpaceDE w:val="0"/>
              <w:adjustRightInd w:val="0"/>
              <w:rPr>
                <w:rFonts w:cs="Arial"/>
                <w:bCs/>
                <w:color w:val="000000"/>
              </w:rPr>
            </w:pPr>
            <w:r w:rsidRPr="00F26518">
              <w:rPr>
                <w:rFonts w:cs="Arial"/>
                <w:b/>
                <w:bCs/>
                <w:color w:val="000000"/>
              </w:rPr>
              <w:t>Resources in Classroom</w:t>
            </w:r>
            <w:r>
              <w:rPr>
                <w:rFonts w:cs="Arial"/>
                <w:bCs/>
                <w:color w:val="000000"/>
              </w:rPr>
              <w:t>:</w:t>
            </w:r>
          </w:p>
          <w:p w14:paraId="06D86D1C" w14:textId="16E14E69" w:rsidR="007D6BAF" w:rsidRPr="00F26518" w:rsidRDefault="00F26518" w:rsidP="007D6BAF">
            <w:pPr>
              <w:autoSpaceDE w:val="0"/>
              <w:adjustRightInd w:val="0"/>
              <w:rPr>
                <w:rFonts w:cs="Arial"/>
                <w:bCs/>
                <w:color w:val="000000"/>
              </w:rPr>
            </w:pPr>
            <w:r>
              <w:rPr>
                <w:rFonts w:cs="Arial"/>
                <w:bCs/>
                <w:color w:val="000000"/>
              </w:rPr>
              <w:t xml:space="preserve">All staff had a visualizer that they used during lockdown.  This supported online learning for disadvantaged pupils as it enabled the teachers to model during their input. </w:t>
            </w:r>
            <w:r w:rsidRPr="001F11ED">
              <w:rPr>
                <w:rFonts w:cs="Arial"/>
                <w:bCs/>
                <w:color w:val="000000"/>
              </w:rPr>
              <w:t>Pupils benefitted as it was as near to classroom practice as possible.  Teachers re</w:t>
            </w:r>
            <w:r>
              <w:rPr>
                <w:rFonts w:cs="Arial"/>
                <w:bCs/>
                <w:color w:val="000000"/>
              </w:rPr>
              <w:t>gularly model concepts in class;</w:t>
            </w:r>
            <w:r w:rsidRPr="001F11ED">
              <w:rPr>
                <w:rFonts w:cs="Arial"/>
                <w:bCs/>
                <w:color w:val="000000"/>
              </w:rPr>
              <w:t xml:space="preserve"> they were able to use the visualizer to do this during online learning.</w:t>
            </w:r>
          </w:p>
        </w:tc>
      </w:tr>
    </w:tbl>
    <w:p w14:paraId="2A7D5548" w14:textId="1E7BE6BB"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A681194" w:rsidR="00E66558" w:rsidRDefault="00B00F2A">
            <w:pPr>
              <w:pStyle w:val="TableRow"/>
            </w:pPr>
            <w:r>
              <w:t>Reading Eggs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88225E2" w:rsidR="00E66558" w:rsidRDefault="00844863">
            <w:pPr>
              <w:pStyle w:val="TableRowCentered"/>
              <w:jc w:val="left"/>
            </w:pPr>
            <w:r>
              <w:t>3P Learning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F89FE1" w:rsidR="00E66558" w:rsidRDefault="00B00F2A">
            <w:pPr>
              <w:pStyle w:val="TableRow"/>
            </w:pPr>
            <w:r>
              <w:t>Mathletics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7F8A2CD" w:rsidR="00E66558" w:rsidRDefault="00844863">
            <w:pPr>
              <w:pStyle w:val="TableRowCentered"/>
              <w:jc w:val="left"/>
            </w:pPr>
            <w:r>
              <w:t>3P Learning</w:t>
            </w:r>
          </w:p>
        </w:tc>
      </w:tr>
      <w:tr w:rsidR="00B00F2A" w14:paraId="0E38914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6D31" w14:textId="083C92B5" w:rsidR="00B00F2A" w:rsidRDefault="00B00F2A">
            <w:pPr>
              <w:pStyle w:val="TableRow"/>
            </w:pPr>
            <w:r>
              <w:t>Times table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A" w14:textId="6CF87FE7" w:rsidR="00B00F2A" w:rsidRDefault="00844863">
            <w:pPr>
              <w:pStyle w:val="TableRowCentered"/>
              <w:jc w:val="left"/>
            </w:pPr>
            <w:r>
              <w:t>TTRS</w:t>
            </w:r>
          </w:p>
        </w:tc>
      </w:tr>
      <w:tr w:rsidR="00B00F2A" w14:paraId="3F90E47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B5A54" w14:textId="76A83DA2" w:rsidR="00B00F2A" w:rsidRDefault="00B00F2A">
            <w:pPr>
              <w:pStyle w:val="TableRow"/>
            </w:pPr>
            <w: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15C4" w14:textId="02F6797E" w:rsidR="00B00F2A" w:rsidRDefault="00844863">
            <w:pPr>
              <w:pStyle w:val="TableRowCentered"/>
              <w:jc w:val="left"/>
            </w:pPr>
            <w:r>
              <w:t>2 Simple</w:t>
            </w:r>
          </w:p>
        </w:tc>
      </w:tr>
      <w:bookmarkEnd w:id="15"/>
      <w:bookmarkEnd w:id="16"/>
      <w:bookmarkEnd w:id="17"/>
    </w:tbl>
    <w:p w14:paraId="2A7D5564" w14:textId="3E658C4D"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713A" w14:textId="77777777" w:rsidR="003937D4" w:rsidRDefault="003937D4">
      <w:pPr>
        <w:spacing w:after="0" w:line="240" w:lineRule="auto"/>
      </w:pPr>
      <w:r>
        <w:separator/>
      </w:r>
    </w:p>
  </w:endnote>
  <w:endnote w:type="continuationSeparator" w:id="0">
    <w:p w14:paraId="1A9D8487" w14:textId="77777777" w:rsidR="003937D4" w:rsidRDefault="0039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1E4EAF2" w:rsidR="005E28A4" w:rsidRDefault="009D71E8">
    <w:pPr>
      <w:pStyle w:val="Footer"/>
      <w:ind w:firstLine="4513"/>
    </w:pPr>
    <w:r>
      <w:fldChar w:fldCharType="begin"/>
    </w:r>
    <w:r>
      <w:instrText xml:space="preserve"> PAGE </w:instrText>
    </w:r>
    <w:r>
      <w:fldChar w:fldCharType="separate"/>
    </w:r>
    <w:r w:rsidR="0001562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EB692" w14:textId="77777777" w:rsidR="003937D4" w:rsidRDefault="003937D4">
      <w:pPr>
        <w:spacing w:after="0" w:line="240" w:lineRule="auto"/>
      </w:pPr>
      <w:r>
        <w:separator/>
      </w:r>
    </w:p>
  </w:footnote>
  <w:footnote w:type="continuationSeparator" w:id="0">
    <w:p w14:paraId="4A00A865" w14:textId="77777777" w:rsidR="003937D4" w:rsidRDefault="0039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0156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2116BE"/>
    <w:multiLevelType w:val="hybridMultilevel"/>
    <w:tmpl w:val="705E69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6EC53E6"/>
    <w:multiLevelType w:val="hybridMultilevel"/>
    <w:tmpl w:val="3D80C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58E481C"/>
    <w:multiLevelType w:val="hybridMultilevel"/>
    <w:tmpl w:val="47E23E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6CA1805"/>
    <w:multiLevelType w:val="multilevel"/>
    <w:tmpl w:val="7AA0B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EC3DB8"/>
    <w:multiLevelType w:val="hybridMultilevel"/>
    <w:tmpl w:val="E966AC7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FF26435"/>
    <w:multiLevelType w:val="multilevel"/>
    <w:tmpl w:val="28E067D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6" w15:restartNumberingAfterBreak="0">
    <w:nsid w:val="4C120633"/>
    <w:multiLevelType w:val="hybridMultilevel"/>
    <w:tmpl w:val="F6ACBE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A1648"/>
    <w:multiLevelType w:val="multilevel"/>
    <w:tmpl w:val="E0C44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2C7EAF"/>
    <w:multiLevelType w:val="multilevel"/>
    <w:tmpl w:val="A0D22792"/>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4F6059"/>
    <w:multiLevelType w:val="hybridMultilevel"/>
    <w:tmpl w:val="96B8BD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DF20A0"/>
    <w:multiLevelType w:val="multilevel"/>
    <w:tmpl w:val="97F2970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2AA3641"/>
    <w:multiLevelType w:val="multilevel"/>
    <w:tmpl w:val="0EFE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B7451A0"/>
    <w:multiLevelType w:val="multilevel"/>
    <w:tmpl w:val="BE9AB6C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40B97"/>
    <w:multiLevelType w:val="hybridMultilevel"/>
    <w:tmpl w:val="AF225DE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14"/>
  </w:num>
  <w:num w:numId="7">
    <w:abstractNumId w:val="22"/>
  </w:num>
  <w:num w:numId="8">
    <w:abstractNumId w:val="29"/>
  </w:num>
  <w:num w:numId="9">
    <w:abstractNumId w:val="26"/>
  </w:num>
  <w:num w:numId="10">
    <w:abstractNumId w:val="24"/>
  </w:num>
  <w:num w:numId="11">
    <w:abstractNumId w:val="3"/>
  </w:num>
  <w:num w:numId="12">
    <w:abstractNumId w:val="27"/>
  </w:num>
  <w:num w:numId="13">
    <w:abstractNumId w:val="20"/>
  </w:num>
  <w:num w:numId="14">
    <w:abstractNumId w:val="30"/>
  </w:num>
  <w:num w:numId="15">
    <w:abstractNumId w:val="11"/>
  </w:num>
  <w:num w:numId="16">
    <w:abstractNumId w:val="31"/>
  </w:num>
  <w:num w:numId="17">
    <w:abstractNumId w:val="6"/>
  </w:num>
  <w:num w:numId="18">
    <w:abstractNumId w:val="1"/>
  </w:num>
  <w:num w:numId="19">
    <w:abstractNumId w:val="8"/>
  </w:num>
  <w:num w:numId="20">
    <w:abstractNumId w:val="23"/>
  </w:num>
  <w:num w:numId="21">
    <w:abstractNumId w:val="15"/>
  </w:num>
  <w:num w:numId="22">
    <w:abstractNumId w:val="18"/>
  </w:num>
  <w:num w:numId="23">
    <w:abstractNumId w:val="19"/>
  </w:num>
  <w:num w:numId="24">
    <w:abstractNumId w:val="9"/>
  </w:num>
  <w:num w:numId="25">
    <w:abstractNumId w:val="16"/>
  </w:num>
  <w:num w:numId="26">
    <w:abstractNumId w:val="12"/>
  </w:num>
  <w:num w:numId="27">
    <w:abstractNumId w:val="25"/>
  </w:num>
  <w:num w:numId="28">
    <w:abstractNumId w:val="21"/>
  </w:num>
  <w:num w:numId="29">
    <w:abstractNumId w:val="10"/>
  </w:num>
  <w:num w:numId="30">
    <w:abstractNumId w:val="17"/>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243"/>
    <w:rsid w:val="00015622"/>
    <w:rsid w:val="0001691E"/>
    <w:rsid w:val="00066B73"/>
    <w:rsid w:val="00115C47"/>
    <w:rsid w:val="00120AB1"/>
    <w:rsid w:val="0014345B"/>
    <w:rsid w:val="00175276"/>
    <w:rsid w:val="00176F1C"/>
    <w:rsid w:val="001B1D66"/>
    <w:rsid w:val="001F425C"/>
    <w:rsid w:val="00204669"/>
    <w:rsid w:val="00231ABC"/>
    <w:rsid w:val="00266820"/>
    <w:rsid w:val="003875EF"/>
    <w:rsid w:val="00391BFF"/>
    <w:rsid w:val="003937D4"/>
    <w:rsid w:val="003B4B2F"/>
    <w:rsid w:val="004044AA"/>
    <w:rsid w:val="00404515"/>
    <w:rsid w:val="00426548"/>
    <w:rsid w:val="00445B50"/>
    <w:rsid w:val="0045678A"/>
    <w:rsid w:val="004724D1"/>
    <w:rsid w:val="00482087"/>
    <w:rsid w:val="004A1979"/>
    <w:rsid w:val="004C5A5F"/>
    <w:rsid w:val="004E2050"/>
    <w:rsid w:val="004E2B59"/>
    <w:rsid w:val="00512529"/>
    <w:rsid w:val="00544BC0"/>
    <w:rsid w:val="00563AFD"/>
    <w:rsid w:val="00570C3B"/>
    <w:rsid w:val="00577CBA"/>
    <w:rsid w:val="005903E4"/>
    <w:rsid w:val="00591F61"/>
    <w:rsid w:val="00595404"/>
    <w:rsid w:val="005D496A"/>
    <w:rsid w:val="00622CDC"/>
    <w:rsid w:val="0063677A"/>
    <w:rsid w:val="006448C5"/>
    <w:rsid w:val="00694647"/>
    <w:rsid w:val="006A3A0C"/>
    <w:rsid w:val="006E7FB1"/>
    <w:rsid w:val="0070498F"/>
    <w:rsid w:val="00725D21"/>
    <w:rsid w:val="00741B9E"/>
    <w:rsid w:val="00761E0B"/>
    <w:rsid w:val="007B2478"/>
    <w:rsid w:val="007C01A0"/>
    <w:rsid w:val="007C2F04"/>
    <w:rsid w:val="007D6BAF"/>
    <w:rsid w:val="00816561"/>
    <w:rsid w:val="00844863"/>
    <w:rsid w:val="0096130A"/>
    <w:rsid w:val="009633C4"/>
    <w:rsid w:val="00975226"/>
    <w:rsid w:val="009C0659"/>
    <w:rsid w:val="009D71E8"/>
    <w:rsid w:val="00AB3E77"/>
    <w:rsid w:val="00AC5776"/>
    <w:rsid w:val="00AF242F"/>
    <w:rsid w:val="00B00F2A"/>
    <w:rsid w:val="00B4223A"/>
    <w:rsid w:val="00B507F9"/>
    <w:rsid w:val="00B94B9C"/>
    <w:rsid w:val="00C000AC"/>
    <w:rsid w:val="00C277A4"/>
    <w:rsid w:val="00C4032F"/>
    <w:rsid w:val="00C40C40"/>
    <w:rsid w:val="00CA3468"/>
    <w:rsid w:val="00CA465E"/>
    <w:rsid w:val="00CA798E"/>
    <w:rsid w:val="00D27500"/>
    <w:rsid w:val="00D33FE5"/>
    <w:rsid w:val="00D34F0D"/>
    <w:rsid w:val="00D74BA8"/>
    <w:rsid w:val="00DC48AF"/>
    <w:rsid w:val="00DE77A8"/>
    <w:rsid w:val="00E223B6"/>
    <w:rsid w:val="00E53647"/>
    <w:rsid w:val="00E54E3D"/>
    <w:rsid w:val="00E66558"/>
    <w:rsid w:val="00E93763"/>
    <w:rsid w:val="00EE1A16"/>
    <w:rsid w:val="00EF549D"/>
    <w:rsid w:val="00F00D9B"/>
    <w:rsid w:val="00F26518"/>
    <w:rsid w:val="00F46B2A"/>
    <w:rsid w:val="00F62EBD"/>
    <w:rsid w:val="00F66276"/>
    <w:rsid w:val="00FA5D7D"/>
    <w:rsid w:val="00FC1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hAnsi="Calibri"/>
      <w:b/>
      <w:bCs/>
      <w:szCs w:val="22"/>
    </w:rPr>
  </w:style>
  <w:style w:type="paragraph" w:styleId="Heading7">
    <w:name w:val="heading 7"/>
    <w:basedOn w:val="Normal"/>
    <w:next w:val="Normal"/>
    <w:pPr>
      <w:spacing w:before="240" w:after="60"/>
      <w:outlineLvl w:val="6"/>
    </w:pPr>
    <w:rPr>
      <w:rFonts w:ascii="Calibri" w:hAnsi="Calibri"/>
    </w:rPr>
  </w:style>
  <w:style w:type="paragraph" w:styleId="Heading8">
    <w:name w:val="heading 8"/>
    <w:basedOn w:val="Normal"/>
    <w:next w:val="Normal"/>
    <w:pPr>
      <w:spacing w:before="240" w:after="60"/>
      <w:outlineLvl w:val="7"/>
    </w:pPr>
    <w:rPr>
      <w:rFonts w:ascii="Calibri" w:hAnsi="Calibri"/>
      <w:i/>
      <w:iCs/>
    </w:rPr>
  </w:style>
  <w:style w:type="paragraph" w:styleId="Heading9">
    <w:name w:val="heading 9"/>
    <w:basedOn w:val="Normal"/>
    <w:next w:val="Normal"/>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9C0659"/>
    <w:rPr>
      <w:color w:val="808080"/>
    </w:rPr>
  </w:style>
  <w:style w:type="table" w:styleId="TableGrid">
    <w:name w:val="Table Grid"/>
    <w:basedOn w:val="TableNormal"/>
    <w:rsid w:val="00E223B6"/>
    <w:pPr>
      <w:autoSpaceDN/>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parental-engageme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teaching-assistant-interventions" TargetMode="External"/><Relationship Id="rId17" Type="http://schemas.openxmlformats.org/officeDocument/2006/relationships/hyperlink" Target="https://educationendowmentfoundation.org.uk/education-evidence/teaching-learning-toolkit/parental-engagement" TargetMode="External"/><Relationship Id="rId2" Type="http://schemas.openxmlformats.org/officeDocument/2006/relationships/styles" Target="styles.xml"/><Relationship Id="rId16" Type="http://schemas.openxmlformats.org/officeDocument/2006/relationships/hyperlink" Target="https://educationendowmentfoundation.org.uk/education-evidence/evidence-reviews/digital-technology-201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feedback"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parental-engagement" TargetMode="External"/><Relationship Id="rId23" Type="http://schemas.openxmlformats.org/officeDocument/2006/relationships/theme" Target="theme/theme1.xml"/><Relationship Id="rId10" Type="http://schemas.openxmlformats.org/officeDocument/2006/relationships/hyperlink" Target="https://d2tic4wvo1iusb.cloudfront.net/documents/guidance-for-teachers/pupil-premium/EEF-Guide-to-the-Pupil-Premium-Autumn-2021.pdf" TargetMode="External"/><Relationship Id="rId19" Type="http://schemas.openxmlformats.org/officeDocument/2006/relationships/hyperlink" Target="https://educationendowmentfoundation.org.uk/education-evidence/teaching-learning-toolkit/social-and-emotional-learning" TargetMode="External"/><Relationship Id="rId4" Type="http://schemas.openxmlformats.org/officeDocument/2006/relationships/webSettings" Target="webSettings.xml"/><Relationship Id="rId9" Type="http://schemas.openxmlformats.org/officeDocument/2006/relationships/hyperlink" Target="https://d2tic4wvo1iusb.cloudfront.net/documents/guidance-for-teachers/pupil-premium/EEF-Guide-to-the-Pupil-Premium-Autumn-2021.pdf"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Sinead O'Leary</cp:lastModifiedBy>
  <cp:revision>2</cp:revision>
  <cp:lastPrinted>2021-09-22T08:26:00Z</cp:lastPrinted>
  <dcterms:created xsi:type="dcterms:W3CDTF">2021-12-17T11:53:00Z</dcterms:created>
  <dcterms:modified xsi:type="dcterms:W3CDTF">2021-12-17T11:53:00Z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